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0E" w:rsidRPr="00FF1E0E" w:rsidRDefault="005C6F08" w:rsidP="00FF1E0E">
      <w:pPr>
        <w:pStyle w:val="Heading1"/>
        <w:spacing w:before="0" w:line="360" w:lineRule="auto"/>
        <w:jc w:val="center"/>
        <w:rPr>
          <w:rFonts w:asciiTheme="minorHAnsi" w:hAnsiTheme="minorHAnsi" w:cstheme="minorHAnsi"/>
          <w:color w:val="auto"/>
          <w:sz w:val="40"/>
          <w:szCs w:val="40"/>
        </w:rPr>
      </w:pPr>
      <w:r>
        <w:rPr>
          <w:rFonts w:asciiTheme="minorHAnsi" w:hAnsiTheme="minorHAnsi" w:cstheme="minorHAnsi"/>
          <w:color w:val="auto"/>
          <w:sz w:val="40"/>
          <w:szCs w:val="40"/>
        </w:rPr>
        <w:t xml:space="preserve">Service in </w:t>
      </w:r>
      <w:r w:rsidR="0052718E">
        <w:rPr>
          <w:rFonts w:asciiTheme="minorHAnsi" w:hAnsiTheme="minorHAnsi" w:cstheme="minorHAnsi"/>
          <w:color w:val="auto"/>
          <w:sz w:val="40"/>
          <w:szCs w:val="40"/>
        </w:rPr>
        <w:t>Custody Cases</w:t>
      </w:r>
    </w:p>
    <w:p w:rsidR="005C6F08" w:rsidRDefault="005C6F08" w:rsidP="0036258D">
      <w:pPr>
        <w:spacing w:after="0" w:line="360" w:lineRule="auto"/>
        <w:rPr>
          <w:rFonts w:ascii="Palatino Linotype" w:hAnsi="Palatino Linotype" w:cs="Calibri"/>
        </w:rPr>
      </w:pPr>
      <w:r>
        <w:rPr>
          <w:rFonts w:ascii="Palatino Linotype" w:hAnsi="Palatino Linotype" w:cs="Calibri"/>
        </w:rPr>
        <w:t xml:space="preserve">D.C. Code §16-4602.5, D.C. Code §16-914(b), </w:t>
      </w:r>
      <w:r w:rsidR="00CF69CF">
        <w:rPr>
          <w:rFonts w:ascii="Palatino Linotype" w:hAnsi="Palatino Linotype" w:cs="Calibri"/>
        </w:rPr>
        <w:t>and D.C. Code §16-83 address</w:t>
      </w:r>
      <w:r>
        <w:rPr>
          <w:rFonts w:ascii="Palatino Linotype" w:hAnsi="Palatino Linotype" w:cs="Calibri"/>
        </w:rPr>
        <w:t xml:space="preserve"> who must be given notice of a custody proceeding.</w:t>
      </w:r>
    </w:p>
    <w:p w:rsidR="000A30D7" w:rsidRDefault="000A30D7" w:rsidP="0036258D">
      <w:pPr>
        <w:spacing w:after="0" w:line="360" w:lineRule="auto"/>
        <w:rPr>
          <w:rFonts w:ascii="Palatino Linotype" w:hAnsi="Palatino Linotype"/>
        </w:rPr>
      </w:pPr>
      <w:bookmarkStart w:id="0" w:name="_GoBack"/>
      <w:bookmarkEnd w:id="0"/>
    </w:p>
    <w:p w:rsidR="0052718E" w:rsidRDefault="0052718E" w:rsidP="0036258D">
      <w:pPr>
        <w:spacing w:after="0" w:line="360" w:lineRule="auto"/>
        <w:rPr>
          <w:rFonts w:ascii="Palatino Linotype" w:hAnsi="Palatino Linotype"/>
        </w:rPr>
      </w:pPr>
      <w:r>
        <w:rPr>
          <w:rFonts w:ascii="Palatino Linotype" w:hAnsi="Palatino Linotype"/>
        </w:rPr>
        <w:t>Each defendant must be served with a summons and a copy of the complaint. At the time the complaint is filed, the clerk will issue a summons for each defendant. The plaintiff is responsible for effecting service. Service</w:t>
      </w:r>
      <w:r w:rsidR="000F3419">
        <w:rPr>
          <w:rFonts w:ascii="Palatino Linotype" w:hAnsi="Palatino Linotype"/>
        </w:rPr>
        <w:t xml:space="preserve"> is governed by SCR-Dom.Rel. 4.</w:t>
      </w:r>
    </w:p>
    <w:p w:rsidR="00FF1E0E" w:rsidRDefault="00FF1E0E" w:rsidP="0036258D">
      <w:pPr>
        <w:spacing w:after="0" w:line="360" w:lineRule="auto"/>
        <w:rPr>
          <w:rFonts w:ascii="Palatino Linotype" w:hAnsi="Palatino Linotype"/>
        </w:rPr>
      </w:pPr>
    </w:p>
    <w:p w:rsidR="000F3419" w:rsidRPr="00FF1E0E" w:rsidRDefault="00FF1E0E" w:rsidP="0036258D">
      <w:pPr>
        <w:spacing w:after="0" w:line="360" w:lineRule="auto"/>
        <w:rPr>
          <w:rFonts w:asciiTheme="minorHAnsi" w:hAnsiTheme="minorHAnsi" w:cstheme="minorHAnsi"/>
          <w:b/>
          <w:sz w:val="32"/>
          <w:szCs w:val="32"/>
        </w:rPr>
      </w:pPr>
      <w:r>
        <w:rPr>
          <w:rFonts w:asciiTheme="minorHAnsi" w:hAnsiTheme="minorHAnsi" w:cstheme="minorHAnsi"/>
          <w:b/>
          <w:sz w:val="32"/>
          <w:szCs w:val="32"/>
        </w:rPr>
        <w:t>Service of Complaint</w:t>
      </w:r>
    </w:p>
    <w:p w:rsidR="0052718E" w:rsidRDefault="00825A65" w:rsidP="0036258D">
      <w:pPr>
        <w:spacing w:after="0" w:line="360" w:lineRule="auto"/>
        <w:rPr>
          <w:rFonts w:ascii="Palatino Linotype" w:hAnsi="Palatino Linotype"/>
        </w:rPr>
      </w:pPr>
      <w:r>
        <w:rPr>
          <w:rFonts w:ascii="Palatino Linotype" w:hAnsi="Palatino Linotype"/>
          <w:b/>
        </w:rPr>
        <w:t>Methods of s</w:t>
      </w:r>
      <w:r w:rsidR="00F35B74" w:rsidRPr="00825A65">
        <w:rPr>
          <w:rFonts w:ascii="Palatino Linotype" w:hAnsi="Palatino Linotype"/>
          <w:b/>
        </w:rPr>
        <w:t>ervice</w:t>
      </w:r>
      <w:r w:rsidR="00F35B74">
        <w:rPr>
          <w:rFonts w:ascii="Palatino Linotype" w:hAnsi="Palatino Linotype"/>
        </w:rPr>
        <w:t xml:space="preserve">: </w:t>
      </w:r>
      <w:r w:rsidR="00F35B74" w:rsidRPr="007975D5">
        <w:rPr>
          <w:rFonts w:ascii="Palatino Linotype" w:hAnsi="Palatino Linotype"/>
          <w:i/>
        </w:rPr>
        <w:t>See</w:t>
      </w:r>
      <w:r w:rsidR="00F35B74">
        <w:rPr>
          <w:rFonts w:ascii="Palatino Linotype" w:hAnsi="Palatino Linotype"/>
        </w:rPr>
        <w:t xml:space="preserve"> SCR-</w:t>
      </w:r>
      <w:proofErr w:type="spellStart"/>
      <w:r w:rsidR="00F35B74">
        <w:rPr>
          <w:rFonts w:ascii="Palatino Linotype" w:hAnsi="Palatino Linotype"/>
        </w:rPr>
        <w:t>Dom.Rel</w:t>
      </w:r>
      <w:proofErr w:type="spellEnd"/>
      <w:r w:rsidR="00F35B74">
        <w:rPr>
          <w:rFonts w:ascii="Palatino Linotype" w:hAnsi="Palatino Linotype"/>
        </w:rPr>
        <w:t xml:space="preserve">. </w:t>
      </w:r>
      <w:r w:rsidR="00FF2DB5">
        <w:rPr>
          <w:rFonts w:ascii="Palatino Linotype" w:hAnsi="Palatino Linotype"/>
        </w:rPr>
        <w:t>4(</w:t>
      </w:r>
      <w:r w:rsidR="00300757">
        <w:rPr>
          <w:rFonts w:ascii="Palatino Linotype" w:hAnsi="Palatino Linotype"/>
        </w:rPr>
        <w:t>d</w:t>
      </w:r>
      <w:r w:rsidR="00FF2DB5">
        <w:rPr>
          <w:rFonts w:ascii="Palatino Linotype" w:hAnsi="Palatino Linotype"/>
        </w:rPr>
        <w:t>)</w:t>
      </w:r>
    </w:p>
    <w:p w:rsidR="0052718E" w:rsidRPr="00CF69CF" w:rsidRDefault="0052718E" w:rsidP="0036258D">
      <w:pPr>
        <w:pStyle w:val="ListParagraph"/>
        <w:numPr>
          <w:ilvl w:val="0"/>
          <w:numId w:val="14"/>
        </w:numPr>
        <w:spacing w:after="0" w:line="360" w:lineRule="auto"/>
        <w:rPr>
          <w:rFonts w:ascii="Palatino Linotype" w:hAnsi="Palatino Linotype"/>
        </w:rPr>
      </w:pPr>
      <w:r w:rsidRPr="00CF69CF">
        <w:rPr>
          <w:rFonts w:ascii="Palatino Linotype" w:hAnsi="Palatino Linotype"/>
        </w:rPr>
        <w:t xml:space="preserve">Personal delivery </w:t>
      </w:r>
      <w:r w:rsidR="00F35B74">
        <w:rPr>
          <w:rFonts w:ascii="Palatino Linotype" w:hAnsi="Palatino Linotype"/>
        </w:rPr>
        <w:t xml:space="preserve">to the defendant </w:t>
      </w:r>
      <w:r w:rsidRPr="00CF69CF">
        <w:rPr>
          <w:rFonts w:ascii="Palatino Linotype" w:hAnsi="Palatino Linotype"/>
        </w:rPr>
        <w:t xml:space="preserve">by any person over the age of 18 who is not a party to the action, or by leaving the summons and complaint at the defendant’s dwelling house or usual place of abode with a person of suitable age and discretion </w:t>
      </w:r>
      <w:r w:rsidR="005C6F08" w:rsidRPr="00CF69CF">
        <w:rPr>
          <w:rFonts w:ascii="Palatino Linotype" w:hAnsi="Palatino Linotype"/>
        </w:rPr>
        <w:t>who lives at the home.</w:t>
      </w:r>
    </w:p>
    <w:p w:rsidR="0052718E" w:rsidRPr="00CF69CF" w:rsidRDefault="005C6F08" w:rsidP="0036258D">
      <w:pPr>
        <w:pStyle w:val="ListParagraph"/>
        <w:numPr>
          <w:ilvl w:val="0"/>
          <w:numId w:val="14"/>
        </w:numPr>
        <w:spacing w:after="0" w:line="360" w:lineRule="auto"/>
        <w:rPr>
          <w:rFonts w:ascii="Palatino Linotype" w:hAnsi="Palatino Linotype"/>
        </w:rPr>
      </w:pPr>
      <w:r w:rsidRPr="00CF69CF">
        <w:rPr>
          <w:rFonts w:ascii="Palatino Linotype" w:hAnsi="Palatino Linotype"/>
        </w:rPr>
        <w:t>C</w:t>
      </w:r>
      <w:r w:rsidR="00CF69CF">
        <w:rPr>
          <w:rFonts w:ascii="Palatino Linotype" w:hAnsi="Palatino Linotype"/>
        </w:rPr>
        <w:t>ertified mail</w:t>
      </w:r>
      <w:r w:rsidR="0052718E" w:rsidRPr="00CF69CF">
        <w:rPr>
          <w:rFonts w:ascii="Palatino Linotype" w:hAnsi="Palatino Linotype"/>
        </w:rPr>
        <w:t xml:space="preserve"> </w:t>
      </w:r>
      <w:r w:rsidR="00CF69CF">
        <w:rPr>
          <w:rFonts w:ascii="Palatino Linotype" w:hAnsi="Palatino Linotype"/>
        </w:rPr>
        <w:t xml:space="preserve">with return receipt </w:t>
      </w:r>
      <w:r w:rsidR="0052718E" w:rsidRPr="00CF69CF">
        <w:rPr>
          <w:rFonts w:ascii="Palatino Linotype" w:hAnsi="Palatino Linotype"/>
        </w:rPr>
        <w:t xml:space="preserve">signed by the </w:t>
      </w:r>
      <w:r w:rsidR="00CF69CF" w:rsidRPr="00CF69CF">
        <w:rPr>
          <w:rFonts w:ascii="Palatino Linotype" w:hAnsi="Palatino Linotype"/>
        </w:rPr>
        <w:t>defendant</w:t>
      </w:r>
      <w:r w:rsidR="00CF69CF">
        <w:rPr>
          <w:rFonts w:ascii="Palatino Linotype" w:hAnsi="Palatino Linotype"/>
        </w:rPr>
        <w:t xml:space="preserve"> or</w:t>
      </w:r>
      <w:r w:rsidR="0052718E" w:rsidRPr="00CF69CF">
        <w:rPr>
          <w:rFonts w:ascii="Palatino Linotype" w:hAnsi="Palatino Linotype"/>
        </w:rPr>
        <w:t xml:space="preserve"> a person of suitable age and discretion living at the individual’s dwellin</w:t>
      </w:r>
      <w:r w:rsidR="00CF69CF">
        <w:rPr>
          <w:rFonts w:ascii="Palatino Linotype" w:hAnsi="Palatino Linotype"/>
        </w:rPr>
        <w:t>g house or usual place of abode.</w:t>
      </w:r>
    </w:p>
    <w:p w:rsidR="005C6F08" w:rsidRPr="00D66E2B" w:rsidRDefault="00D9042A" w:rsidP="0036258D">
      <w:pPr>
        <w:pStyle w:val="ListParagraph"/>
        <w:numPr>
          <w:ilvl w:val="1"/>
          <w:numId w:val="14"/>
        </w:numPr>
        <w:spacing w:after="0" w:line="360" w:lineRule="auto"/>
        <w:rPr>
          <w:rFonts w:ascii="Palatino Linotype" w:hAnsi="Palatino Linotype"/>
          <w:i/>
        </w:rPr>
      </w:pPr>
      <w:r>
        <w:rPr>
          <w:rFonts w:ascii="Palatino Linotype" w:hAnsi="Palatino Linotype"/>
          <w:i/>
        </w:rPr>
        <w:t xml:space="preserve">NOTE: </w:t>
      </w:r>
      <w:r w:rsidR="005C6F08" w:rsidRPr="00D66E2B">
        <w:rPr>
          <w:rFonts w:ascii="Palatino Linotype" w:hAnsi="Palatino Linotype"/>
          <w:i/>
        </w:rPr>
        <w:t>Although service by certified mail is permissible according to the Domestic Relations Rules, the court may still insist that the movant also attempt to serve the defendant in person.  This is often the court’s preference when the defendant is known to live locally.</w:t>
      </w:r>
    </w:p>
    <w:p w:rsidR="005C6F08" w:rsidRDefault="005C6F08" w:rsidP="0036258D">
      <w:pPr>
        <w:spacing w:after="0" w:line="360" w:lineRule="auto"/>
        <w:rPr>
          <w:rFonts w:ascii="Palatino Linotype" w:hAnsi="Palatino Linotype"/>
          <w:b/>
        </w:rPr>
      </w:pPr>
    </w:p>
    <w:p w:rsidR="00CF69CF" w:rsidRDefault="00825A65" w:rsidP="0036258D">
      <w:pPr>
        <w:spacing w:after="0" w:line="360" w:lineRule="auto"/>
        <w:rPr>
          <w:rFonts w:ascii="Palatino Linotype" w:hAnsi="Palatino Linotype" w:cs="Calibri"/>
        </w:rPr>
      </w:pPr>
      <w:r>
        <w:rPr>
          <w:rFonts w:ascii="Palatino Linotype" w:hAnsi="Palatino Linotype" w:cs="Calibri"/>
          <w:b/>
        </w:rPr>
        <w:t>Time period for s</w:t>
      </w:r>
      <w:r w:rsidR="005C6F08" w:rsidRPr="00825A65">
        <w:rPr>
          <w:rFonts w:ascii="Palatino Linotype" w:hAnsi="Palatino Linotype" w:cs="Calibri"/>
          <w:b/>
        </w:rPr>
        <w:t>ervice</w:t>
      </w:r>
      <w:r w:rsidR="005C6F08" w:rsidRPr="00CF69CF">
        <w:rPr>
          <w:rFonts w:ascii="Palatino Linotype" w:hAnsi="Palatino Linotype" w:cs="Calibri"/>
        </w:rPr>
        <w:t xml:space="preserve">:   </w:t>
      </w:r>
      <w:r w:rsidR="005C6F08" w:rsidRPr="007975D5">
        <w:rPr>
          <w:rFonts w:ascii="Palatino Linotype" w:hAnsi="Palatino Linotype" w:cs="Calibri"/>
          <w:i/>
        </w:rPr>
        <w:t>See</w:t>
      </w:r>
      <w:r w:rsidR="005C6F08" w:rsidRPr="00CF69CF">
        <w:rPr>
          <w:rFonts w:ascii="Palatino Linotype" w:hAnsi="Palatino Linotype" w:cs="Calibri"/>
        </w:rPr>
        <w:t xml:space="preserve"> SCR-</w:t>
      </w:r>
      <w:proofErr w:type="spellStart"/>
      <w:r w:rsidR="005C6F08" w:rsidRPr="00CF69CF">
        <w:rPr>
          <w:rFonts w:ascii="Palatino Linotype" w:hAnsi="Palatino Linotype" w:cs="Calibri"/>
        </w:rPr>
        <w:t>Dom.Rel</w:t>
      </w:r>
      <w:proofErr w:type="spellEnd"/>
      <w:r w:rsidR="005C6F08" w:rsidRPr="00CF69CF">
        <w:rPr>
          <w:rFonts w:ascii="Palatino Linotype" w:hAnsi="Palatino Linotype" w:cs="Calibri"/>
        </w:rPr>
        <w:t xml:space="preserve">. </w:t>
      </w:r>
      <w:proofErr w:type="gramStart"/>
      <w:r w:rsidR="005C6F08" w:rsidRPr="00CF69CF">
        <w:rPr>
          <w:rFonts w:ascii="Palatino Linotype" w:hAnsi="Palatino Linotype" w:cs="Calibri"/>
        </w:rPr>
        <w:t>4(l).</w:t>
      </w:r>
      <w:proofErr w:type="gramEnd"/>
    </w:p>
    <w:p w:rsidR="005C6F08" w:rsidRDefault="000C7AED" w:rsidP="0036258D">
      <w:pPr>
        <w:numPr>
          <w:ilvl w:val="0"/>
          <w:numId w:val="15"/>
        </w:numPr>
        <w:spacing w:after="0" w:line="360" w:lineRule="auto"/>
        <w:rPr>
          <w:rFonts w:ascii="Palatino Linotype" w:hAnsi="Palatino Linotype" w:cs="Calibri"/>
        </w:rPr>
      </w:pPr>
      <w:r>
        <w:rPr>
          <w:rFonts w:ascii="Palatino Linotype" w:hAnsi="Palatino Linotype" w:cs="Calibri"/>
        </w:rPr>
        <w:t>Within 60 days of the filing of the complaint</w:t>
      </w:r>
      <w:r w:rsidR="005C6F08">
        <w:rPr>
          <w:rFonts w:ascii="Palatino Linotype" w:hAnsi="Palatino Linotype" w:cs="Calibri"/>
        </w:rPr>
        <w:t xml:space="preserve">; may be extended </w:t>
      </w:r>
      <w:r>
        <w:rPr>
          <w:rFonts w:ascii="Palatino Linotype" w:hAnsi="Palatino Linotype" w:cs="Calibri"/>
        </w:rPr>
        <w:t>for one additional 60 day period by</w:t>
      </w:r>
      <w:r w:rsidR="005C6F08">
        <w:rPr>
          <w:rFonts w:ascii="Palatino Linotype" w:hAnsi="Palatino Linotype" w:cs="Calibri"/>
        </w:rPr>
        <w:t xml:space="preserve"> the clerk</w:t>
      </w:r>
      <w:r w:rsidR="003A58FC">
        <w:rPr>
          <w:rFonts w:ascii="Palatino Linotype" w:hAnsi="Palatino Linotype" w:cs="Calibri"/>
        </w:rPr>
        <w:t xml:space="preserve"> (at the Central Intake Center),</w:t>
      </w:r>
      <w:r w:rsidR="005C6F08">
        <w:rPr>
          <w:rFonts w:ascii="Palatino Linotype" w:hAnsi="Palatino Linotype" w:cs="Calibri"/>
        </w:rPr>
        <w:t xml:space="preserve"> then may be extended </w:t>
      </w:r>
      <w:r>
        <w:rPr>
          <w:rFonts w:ascii="Palatino Linotype" w:hAnsi="Palatino Linotype" w:cs="Calibri"/>
        </w:rPr>
        <w:t xml:space="preserve">by filing a motion for additional time. </w:t>
      </w:r>
    </w:p>
    <w:p w:rsidR="005C6F08" w:rsidRDefault="005C6F08" w:rsidP="0036258D">
      <w:pPr>
        <w:spacing w:line="360" w:lineRule="auto"/>
        <w:rPr>
          <w:rFonts w:ascii="Palatino Linotype" w:hAnsi="Palatino Linotype" w:cs="Calibri"/>
        </w:rPr>
      </w:pPr>
    </w:p>
    <w:p w:rsidR="005C6F08" w:rsidRPr="00B82301" w:rsidRDefault="005C6F08" w:rsidP="0036258D">
      <w:pPr>
        <w:spacing w:after="0" w:line="360" w:lineRule="auto"/>
        <w:rPr>
          <w:rFonts w:ascii="Palatino Linotype" w:hAnsi="Palatino Linotype" w:cs="Calibri"/>
        </w:rPr>
      </w:pPr>
      <w:r w:rsidRPr="00825A65">
        <w:rPr>
          <w:rFonts w:ascii="Palatino Linotype" w:hAnsi="Palatino Linotype" w:cs="Calibri"/>
          <w:b/>
        </w:rPr>
        <w:lastRenderedPageBreak/>
        <w:t>Proof of service</w:t>
      </w:r>
      <w:r>
        <w:rPr>
          <w:rFonts w:ascii="Palatino Linotype" w:hAnsi="Palatino Linotype" w:cs="Calibri"/>
        </w:rPr>
        <w:t xml:space="preserve">:  an affidavit of service must be filed.  </w:t>
      </w:r>
      <w:r>
        <w:rPr>
          <w:rFonts w:ascii="Palatino Linotype" w:hAnsi="Palatino Linotype" w:cs="Calibri"/>
          <w:i/>
        </w:rPr>
        <w:t>See</w:t>
      </w:r>
      <w:r w:rsidR="00FF2DB5">
        <w:rPr>
          <w:rFonts w:ascii="Palatino Linotype" w:hAnsi="Palatino Linotype" w:cs="Calibri"/>
        </w:rPr>
        <w:t xml:space="preserve"> SCR-</w:t>
      </w:r>
      <w:proofErr w:type="spellStart"/>
      <w:r w:rsidR="00FF2DB5">
        <w:rPr>
          <w:rFonts w:ascii="Palatino Linotype" w:hAnsi="Palatino Linotype" w:cs="Calibri"/>
        </w:rPr>
        <w:t>Dom.Rel</w:t>
      </w:r>
      <w:proofErr w:type="spellEnd"/>
      <w:r w:rsidR="00FF2DB5">
        <w:rPr>
          <w:rFonts w:ascii="Palatino Linotype" w:hAnsi="Palatino Linotype" w:cs="Calibri"/>
        </w:rPr>
        <w:t>. 4</w:t>
      </w:r>
      <w:r w:rsidR="00FF2DB5">
        <w:rPr>
          <w:rFonts w:ascii="Palatino Linotype" w:hAnsi="Palatino Linotype"/>
        </w:rPr>
        <w:t>(c</w:t>
      </w:r>
      <w:proofErr w:type="gramStart"/>
      <w:r w:rsidR="00FF2DB5">
        <w:rPr>
          <w:rFonts w:ascii="Palatino Linotype" w:hAnsi="Palatino Linotype"/>
        </w:rPr>
        <w:t>)(</w:t>
      </w:r>
      <w:proofErr w:type="gramEnd"/>
      <w:r w:rsidR="00FF2DB5">
        <w:rPr>
          <w:rFonts w:ascii="Palatino Linotype" w:hAnsi="Palatino Linotype"/>
        </w:rPr>
        <w:t>1) and (2)</w:t>
      </w:r>
    </w:p>
    <w:p w:rsidR="005C6F08" w:rsidRPr="00825A65" w:rsidRDefault="005C6F08" w:rsidP="0036258D">
      <w:pPr>
        <w:pStyle w:val="ListParagraph"/>
        <w:numPr>
          <w:ilvl w:val="0"/>
          <w:numId w:val="16"/>
        </w:numPr>
        <w:spacing w:after="0" w:line="360" w:lineRule="auto"/>
        <w:rPr>
          <w:rFonts w:ascii="Palatino Linotype" w:hAnsi="Palatino Linotype" w:cs="Calibri"/>
        </w:rPr>
      </w:pPr>
      <w:r w:rsidRPr="00825A65">
        <w:rPr>
          <w:rFonts w:ascii="Palatino Linotype" w:hAnsi="Palatino Linotype" w:cs="Calibri"/>
        </w:rPr>
        <w:t xml:space="preserve">If personally served, the affidavit must be signed by the process server </w:t>
      </w:r>
    </w:p>
    <w:p w:rsidR="00825A65" w:rsidRDefault="005C6F08" w:rsidP="0036258D">
      <w:pPr>
        <w:pStyle w:val="ListParagraph"/>
        <w:numPr>
          <w:ilvl w:val="0"/>
          <w:numId w:val="16"/>
        </w:numPr>
        <w:spacing w:after="0" w:line="360" w:lineRule="auto"/>
        <w:rPr>
          <w:rFonts w:ascii="Palatino Linotype" w:hAnsi="Palatino Linotype" w:cs="Calibri"/>
        </w:rPr>
      </w:pPr>
      <w:r w:rsidRPr="00825A65">
        <w:rPr>
          <w:rFonts w:ascii="Palatino Linotype" w:hAnsi="Palatino Linotype" w:cs="Calibri"/>
        </w:rPr>
        <w:t xml:space="preserve">If mailed, the affidavit should be signed by whoever did the mailing (usually the attorney or pro se party) with signed return receipt </w:t>
      </w:r>
      <w:r w:rsidR="00825A65">
        <w:rPr>
          <w:rFonts w:ascii="Palatino Linotype" w:hAnsi="Palatino Linotype" w:cs="Calibri"/>
        </w:rPr>
        <w:t xml:space="preserve">attached </w:t>
      </w:r>
    </w:p>
    <w:p w:rsidR="005C6F08" w:rsidRPr="0036258D" w:rsidRDefault="00D9042A" w:rsidP="0036258D">
      <w:pPr>
        <w:pStyle w:val="ListParagraph"/>
        <w:numPr>
          <w:ilvl w:val="1"/>
          <w:numId w:val="16"/>
        </w:numPr>
        <w:spacing w:after="0" w:line="360" w:lineRule="auto"/>
        <w:rPr>
          <w:rFonts w:ascii="Palatino Linotype" w:hAnsi="Palatino Linotype" w:cs="Calibri"/>
          <w:i/>
        </w:rPr>
      </w:pPr>
      <w:r>
        <w:rPr>
          <w:rFonts w:ascii="Palatino Linotype" w:hAnsi="Palatino Linotype" w:cs="Calibri"/>
          <w:i/>
        </w:rPr>
        <w:t xml:space="preserve">NOTE: </w:t>
      </w:r>
      <w:r w:rsidR="00825A65" w:rsidRPr="0036258D">
        <w:rPr>
          <w:rFonts w:ascii="Palatino Linotype" w:hAnsi="Palatino Linotype" w:cs="Calibri"/>
          <w:i/>
        </w:rPr>
        <w:t xml:space="preserve">The signed return receipt is </w:t>
      </w:r>
      <w:r w:rsidR="005C6F08" w:rsidRPr="0036258D">
        <w:rPr>
          <w:rFonts w:ascii="Palatino Linotype" w:hAnsi="Palatino Linotype" w:cs="Calibri"/>
          <w:i/>
        </w:rPr>
        <w:t>often in the form of a “green card</w:t>
      </w:r>
      <w:r w:rsidR="00825A65" w:rsidRPr="0036258D">
        <w:rPr>
          <w:rFonts w:ascii="Palatino Linotype" w:hAnsi="Palatino Linotype" w:cs="Calibri"/>
          <w:i/>
        </w:rPr>
        <w:t xml:space="preserve">.” However, </w:t>
      </w:r>
      <w:r w:rsidR="005C6F08" w:rsidRPr="0036258D">
        <w:rPr>
          <w:rFonts w:ascii="Palatino Linotype" w:hAnsi="Palatino Linotype" w:cs="Calibri"/>
          <w:i/>
        </w:rPr>
        <w:t>signatures captured electronically can be used</w:t>
      </w:r>
    </w:p>
    <w:p w:rsidR="00B82301" w:rsidRPr="00B82301" w:rsidRDefault="00B82301" w:rsidP="0036258D">
      <w:pPr>
        <w:spacing w:after="0" w:line="360" w:lineRule="auto"/>
        <w:rPr>
          <w:rFonts w:ascii="Palatino Linotype" w:hAnsi="Palatino Linotype" w:cs="Calibri"/>
        </w:rPr>
      </w:pPr>
    </w:p>
    <w:p w:rsidR="005C6F08" w:rsidRDefault="005C6F08" w:rsidP="0036258D">
      <w:pPr>
        <w:spacing w:after="0" w:line="360" w:lineRule="auto"/>
        <w:rPr>
          <w:rFonts w:ascii="Palatino Linotype" w:hAnsi="Palatino Linotype" w:cs="Calibri"/>
          <w:color w:val="0000FF"/>
        </w:rPr>
      </w:pPr>
      <w:r w:rsidRPr="00825A65">
        <w:rPr>
          <w:rFonts w:ascii="Palatino Linotype" w:hAnsi="Palatino Linotype" w:cs="Calibri"/>
          <w:b/>
        </w:rPr>
        <w:t>Long-arm jurisdiction (personal jurisdiction over and service on an individual outside of the District):</w:t>
      </w:r>
      <w:r>
        <w:rPr>
          <w:rFonts w:ascii="Palatino Linotype" w:hAnsi="Palatino Linotype" w:cs="Calibri"/>
        </w:rPr>
        <w:t xml:space="preserve">   </w:t>
      </w:r>
      <w:r w:rsidR="00825A65" w:rsidRPr="00825A65">
        <w:rPr>
          <w:rFonts w:ascii="Palatino Linotype" w:hAnsi="Palatino Linotype" w:cs="Calibri"/>
          <w:i/>
        </w:rPr>
        <w:t>See</w:t>
      </w:r>
      <w:r>
        <w:rPr>
          <w:rFonts w:ascii="Palatino Linotype" w:hAnsi="Palatino Linotype" w:cs="Calibri"/>
        </w:rPr>
        <w:t xml:space="preserve"> D.C. Code §§ 13-423, -424; 13-431 </w:t>
      </w:r>
      <w:r>
        <w:rPr>
          <w:rFonts w:ascii="Palatino Linotype" w:hAnsi="Palatino Linotype" w:cs="Calibri"/>
          <w:i/>
        </w:rPr>
        <w:t>et seq</w:t>
      </w:r>
      <w:r>
        <w:rPr>
          <w:rFonts w:ascii="Palatino Linotype" w:hAnsi="Palatino Linotype" w:cs="Calibri"/>
        </w:rPr>
        <w:t>.</w:t>
      </w:r>
    </w:p>
    <w:p w:rsidR="005C6F08" w:rsidRPr="005C6F08" w:rsidRDefault="005C6F08" w:rsidP="0036258D">
      <w:pPr>
        <w:spacing w:after="0" w:line="360" w:lineRule="auto"/>
        <w:rPr>
          <w:rFonts w:ascii="Palatino Linotype" w:hAnsi="Palatino Linotype"/>
          <w:b/>
        </w:rPr>
      </w:pPr>
    </w:p>
    <w:p w:rsidR="0002039C" w:rsidRPr="0002039C" w:rsidRDefault="0002039C" w:rsidP="0036258D">
      <w:pPr>
        <w:spacing w:after="0" w:line="360" w:lineRule="auto"/>
        <w:rPr>
          <w:rFonts w:ascii="Palatino Linotype" w:hAnsi="Palatino Linotype"/>
        </w:rPr>
      </w:pPr>
    </w:p>
    <w:p w:rsidR="0052718E" w:rsidRPr="0002039C" w:rsidRDefault="0052718E" w:rsidP="0036258D">
      <w:pPr>
        <w:pStyle w:val="ListParagraph"/>
        <w:spacing w:after="0" w:line="360" w:lineRule="auto"/>
        <w:ind w:left="0"/>
        <w:rPr>
          <w:rFonts w:ascii="Palatino Linotype" w:hAnsi="Palatino Linotype"/>
          <w:b/>
          <w:sz w:val="32"/>
          <w:szCs w:val="40"/>
        </w:rPr>
      </w:pPr>
      <w:r>
        <w:rPr>
          <w:rFonts w:asciiTheme="minorHAnsi" w:hAnsiTheme="minorHAnsi" w:cstheme="minorHAnsi"/>
          <w:b/>
          <w:sz w:val="32"/>
          <w:szCs w:val="32"/>
        </w:rPr>
        <w:t xml:space="preserve">What if the </w:t>
      </w:r>
      <w:r w:rsidR="00256472">
        <w:rPr>
          <w:rFonts w:asciiTheme="minorHAnsi" w:hAnsiTheme="minorHAnsi" w:cstheme="minorHAnsi"/>
          <w:b/>
          <w:sz w:val="32"/>
          <w:szCs w:val="32"/>
        </w:rPr>
        <w:t>parties</w:t>
      </w:r>
      <w:r>
        <w:rPr>
          <w:rFonts w:asciiTheme="minorHAnsi" w:hAnsiTheme="minorHAnsi" w:cstheme="minorHAnsi"/>
          <w:b/>
          <w:sz w:val="32"/>
          <w:szCs w:val="32"/>
        </w:rPr>
        <w:t xml:space="preserve"> cannot be found?</w:t>
      </w:r>
      <w:r w:rsidR="0002039C">
        <w:rPr>
          <w:rFonts w:asciiTheme="minorHAnsi" w:hAnsiTheme="minorHAnsi" w:cstheme="minorHAnsi"/>
          <w:b/>
          <w:sz w:val="40"/>
          <w:szCs w:val="40"/>
        </w:rPr>
        <w:t xml:space="preserve"> </w:t>
      </w:r>
    </w:p>
    <w:p w:rsidR="0052718E" w:rsidRPr="00B82301" w:rsidRDefault="0052718E" w:rsidP="0036258D">
      <w:pPr>
        <w:spacing w:after="0" w:line="360" w:lineRule="auto"/>
        <w:rPr>
          <w:rFonts w:ascii="Palatino Linotype" w:hAnsi="Palatino Linotype"/>
        </w:rPr>
      </w:pPr>
      <w:r>
        <w:rPr>
          <w:rFonts w:ascii="Palatino Linotype" w:hAnsi="Palatino Linotype"/>
        </w:rPr>
        <w:t xml:space="preserve">The code and court rules permit constructive service </w:t>
      </w:r>
      <w:r w:rsidR="00505A90">
        <w:rPr>
          <w:rFonts w:ascii="Palatino Linotype" w:hAnsi="Palatino Linotype"/>
        </w:rPr>
        <w:t xml:space="preserve">through publication or </w:t>
      </w:r>
      <w:r w:rsidR="00664ADE">
        <w:rPr>
          <w:rFonts w:ascii="Palatino Linotype" w:hAnsi="Palatino Linotype"/>
        </w:rPr>
        <w:t xml:space="preserve">service by </w:t>
      </w:r>
      <w:r w:rsidR="00505A90">
        <w:rPr>
          <w:rFonts w:ascii="Palatino Linotype" w:hAnsi="Palatino Linotype"/>
        </w:rPr>
        <w:t xml:space="preserve">posting </w:t>
      </w:r>
      <w:r>
        <w:rPr>
          <w:rFonts w:ascii="Palatino Linotype" w:hAnsi="Palatino Linotype"/>
        </w:rPr>
        <w:t xml:space="preserve">upon a showing of inability </w:t>
      </w:r>
      <w:r w:rsidR="00505A90">
        <w:rPr>
          <w:rFonts w:ascii="Palatino Linotype" w:hAnsi="Palatino Linotype"/>
        </w:rPr>
        <w:t>to pay the costs of publication</w:t>
      </w:r>
      <w:r>
        <w:rPr>
          <w:rFonts w:ascii="Palatino Linotype" w:hAnsi="Palatino Linotype"/>
        </w:rPr>
        <w:t xml:space="preserve">. </w:t>
      </w:r>
      <w:r w:rsidR="007975D5" w:rsidRPr="007975D5">
        <w:rPr>
          <w:rFonts w:ascii="Palatino Linotype" w:hAnsi="Palatino Linotype"/>
          <w:i/>
        </w:rPr>
        <w:t>See</w:t>
      </w:r>
      <w:r w:rsidR="007975D5">
        <w:rPr>
          <w:rFonts w:ascii="Palatino Linotype" w:hAnsi="Palatino Linotype"/>
        </w:rPr>
        <w:t xml:space="preserve"> </w:t>
      </w:r>
      <w:r>
        <w:rPr>
          <w:rFonts w:ascii="Palatino Linotype" w:hAnsi="Palatino Linotype"/>
        </w:rPr>
        <w:t xml:space="preserve">D.C. Code § 13-336 </w:t>
      </w:r>
      <w:r w:rsidRPr="00B82301">
        <w:rPr>
          <w:rFonts w:ascii="Palatino Linotype" w:hAnsi="Palatino Linotype"/>
        </w:rPr>
        <w:t>et seq</w:t>
      </w:r>
      <w:r>
        <w:rPr>
          <w:rFonts w:ascii="Palatino Linotype" w:hAnsi="Palatino Linotype"/>
        </w:rPr>
        <w:t xml:space="preserve">.; </w:t>
      </w:r>
      <w:r w:rsidR="00B82301" w:rsidRPr="00B82301">
        <w:rPr>
          <w:rFonts w:ascii="Palatino Linotype" w:hAnsi="Palatino Linotype"/>
        </w:rPr>
        <w:t xml:space="preserve">D.C. Code § 13-340(a); </w:t>
      </w:r>
      <w:r>
        <w:rPr>
          <w:rFonts w:ascii="Palatino Linotype" w:hAnsi="Palatino Linotype"/>
        </w:rPr>
        <w:t>SCR-</w:t>
      </w:r>
      <w:proofErr w:type="spellStart"/>
      <w:r>
        <w:rPr>
          <w:rFonts w:ascii="Palatino Linotype" w:hAnsi="Palatino Linotype"/>
        </w:rPr>
        <w:t>Dom.Rel</w:t>
      </w:r>
      <w:proofErr w:type="spellEnd"/>
      <w:r>
        <w:rPr>
          <w:rFonts w:ascii="Palatino Linotype" w:hAnsi="Palatino Linotype"/>
        </w:rPr>
        <w:t xml:space="preserve">. </w:t>
      </w:r>
      <w:proofErr w:type="gramStart"/>
      <w:r>
        <w:rPr>
          <w:rFonts w:ascii="Palatino Linotype" w:hAnsi="Palatino Linotype"/>
        </w:rPr>
        <w:t>4</w:t>
      </w:r>
      <w:r w:rsidR="00300757">
        <w:rPr>
          <w:rFonts w:ascii="Palatino Linotype" w:hAnsi="Palatino Linotype"/>
        </w:rPr>
        <w:t>(f), (g)</w:t>
      </w:r>
      <w:r>
        <w:rPr>
          <w:rFonts w:ascii="Palatino Linotype" w:hAnsi="Palatino Linotype"/>
        </w:rPr>
        <w:t>.</w:t>
      </w:r>
      <w:proofErr w:type="gramEnd"/>
      <w:r>
        <w:rPr>
          <w:rFonts w:ascii="Palatino Linotype" w:hAnsi="Palatino Linotype"/>
        </w:rPr>
        <w:t xml:space="preserve"> </w:t>
      </w:r>
    </w:p>
    <w:p w:rsidR="00B82301" w:rsidRPr="00B82301" w:rsidRDefault="00B82301" w:rsidP="0036258D">
      <w:pPr>
        <w:spacing w:after="0" w:line="360" w:lineRule="auto"/>
        <w:rPr>
          <w:rFonts w:ascii="Arial" w:hAnsi="Arial" w:cs="Arial"/>
          <w:sz w:val="24"/>
          <w:szCs w:val="24"/>
        </w:rPr>
      </w:pPr>
    </w:p>
    <w:p w:rsidR="00664ADE" w:rsidRDefault="0052718E" w:rsidP="0036258D">
      <w:pPr>
        <w:spacing w:after="0" w:line="360" w:lineRule="auto"/>
        <w:rPr>
          <w:rFonts w:ascii="Palatino Linotype" w:hAnsi="Palatino Linotype"/>
        </w:rPr>
      </w:pPr>
      <w:r>
        <w:rPr>
          <w:rFonts w:ascii="Palatino Linotype" w:hAnsi="Palatino Linotype"/>
        </w:rPr>
        <w:t xml:space="preserve">Plaintiff must file a motion requesting approval for constructive service. The motion must be supported by an affidavit concerning efforts made to locate the </w:t>
      </w:r>
      <w:r w:rsidR="00256472">
        <w:rPr>
          <w:rFonts w:ascii="Palatino Linotype" w:hAnsi="Palatino Linotype"/>
        </w:rPr>
        <w:t>party</w:t>
      </w:r>
      <w:r>
        <w:rPr>
          <w:rFonts w:ascii="Palatino Linotype" w:hAnsi="Palatino Linotype"/>
        </w:rPr>
        <w:t xml:space="preserve">. See </w:t>
      </w:r>
      <w:r>
        <w:rPr>
          <w:rFonts w:ascii="Palatino Linotype" w:hAnsi="Palatino Linotype"/>
          <w:i/>
        </w:rPr>
        <w:t>Cruz v. Sarmiento</w:t>
      </w:r>
      <w:r>
        <w:rPr>
          <w:rFonts w:ascii="Palatino Linotype" w:hAnsi="Palatino Linotype"/>
        </w:rPr>
        <w:t xml:space="preserve">, 737 A.2d 1021 (D.C. 1999); </w:t>
      </w:r>
      <w:proofErr w:type="spellStart"/>
      <w:r>
        <w:rPr>
          <w:rFonts w:ascii="Palatino Linotype" w:hAnsi="Palatino Linotype"/>
          <w:i/>
        </w:rPr>
        <w:t>Bearstop</w:t>
      </w:r>
      <w:proofErr w:type="spellEnd"/>
      <w:r>
        <w:rPr>
          <w:rFonts w:ascii="Palatino Linotype" w:hAnsi="Palatino Linotype"/>
          <w:i/>
        </w:rPr>
        <w:t xml:space="preserve"> v. </w:t>
      </w:r>
      <w:proofErr w:type="spellStart"/>
      <w:r>
        <w:rPr>
          <w:rFonts w:ascii="Palatino Linotype" w:hAnsi="Palatino Linotype"/>
          <w:i/>
        </w:rPr>
        <w:t>Bearstop</w:t>
      </w:r>
      <w:proofErr w:type="spellEnd"/>
      <w:r>
        <w:rPr>
          <w:rFonts w:ascii="Palatino Linotype" w:hAnsi="Palatino Linotype"/>
        </w:rPr>
        <w:t>, 377 A.2d 405 (D.C. 1977). Such efforts are someti</w:t>
      </w:r>
      <w:r w:rsidR="00505A90">
        <w:rPr>
          <w:rFonts w:ascii="Palatino Linotype" w:hAnsi="Palatino Linotype"/>
        </w:rPr>
        <w:t>mes called a “diligent search.”</w:t>
      </w:r>
    </w:p>
    <w:p w:rsidR="00664ADE" w:rsidRPr="00FF1E0E" w:rsidRDefault="00664ADE" w:rsidP="0036258D">
      <w:pPr>
        <w:pStyle w:val="ListParagraph"/>
        <w:numPr>
          <w:ilvl w:val="0"/>
          <w:numId w:val="20"/>
        </w:numPr>
        <w:spacing w:after="0" w:line="360" w:lineRule="auto"/>
        <w:rPr>
          <w:rFonts w:ascii="Palatino Linotype" w:hAnsi="Palatino Linotype"/>
        </w:rPr>
      </w:pPr>
      <w:r w:rsidRPr="003A58FC">
        <w:rPr>
          <w:rFonts w:ascii="Palatino Linotype" w:hAnsi="Palatino Linotype"/>
          <w:i/>
        </w:rPr>
        <w:t>N</w:t>
      </w:r>
      <w:r w:rsidR="003A58FC">
        <w:rPr>
          <w:rFonts w:ascii="Palatino Linotype" w:hAnsi="Palatino Linotype"/>
          <w:i/>
        </w:rPr>
        <w:t>OTE</w:t>
      </w:r>
      <w:r w:rsidRPr="003A58FC">
        <w:rPr>
          <w:rFonts w:ascii="Palatino Linotype" w:hAnsi="Palatino Linotype"/>
          <w:i/>
        </w:rPr>
        <w:t>: The statute appears to require non-residence of the defendant or absence from the jurisdiction for at least six months as a prerequisite to publication/posting.  However, the court often draws the inference of non-residence or absence from the inability to locate the defendant after a diligent search.</w:t>
      </w:r>
    </w:p>
    <w:p w:rsidR="0002039C" w:rsidRDefault="0002039C" w:rsidP="0036258D">
      <w:pPr>
        <w:spacing w:after="0" w:line="360" w:lineRule="auto"/>
        <w:rPr>
          <w:rFonts w:ascii="Palatino Linotype" w:hAnsi="Palatino Linotype"/>
        </w:rPr>
      </w:pPr>
    </w:p>
    <w:p w:rsidR="0002039C" w:rsidRDefault="008D3B73" w:rsidP="0036258D">
      <w:pPr>
        <w:spacing w:after="0" w:line="360" w:lineRule="auto"/>
        <w:rPr>
          <w:rFonts w:asciiTheme="minorHAnsi" w:hAnsiTheme="minorHAnsi" w:cstheme="minorHAnsi"/>
          <w:b/>
          <w:sz w:val="32"/>
          <w:szCs w:val="32"/>
        </w:rPr>
      </w:pPr>
      <w:r>
        <w:rPr>
          <w:rFonts w:asciiTheme="minorHAnsi" w:hAnsiTheme="minorHAnsi" w:cstheme="minorHAnsi"/>
          <w:b/>
          <w:sz w:val="32"/>
          <w:szCs w:val="32"/>
        </w:rPr>
        <w:t xml:space="preserve">Diligent </w:t>
      </w:r>
      <w:r w:rsidR="0002039C">
        <w:rPr>
          <w:rFonts w:asciiTheme="minorHAnsi" w:hAnsiTheme="minorHAnsi" w:cstheme="minorHAnsi"/>
          <w:b/>
          <w:sz w:val="32"/>
          <w:szCs w:val="32"/>
        </w:rPr>
        <w:t>Search</w:t>
      </w:r>
    </w:p>
    <w:p w:rsidR="00505A90" w:rsidRDefault="00505A90" w:rsidP="0036258D">
      <w:pPr>
        <w:spacing w:after="0" w:line="360" w:lineRule="auto"/>
        <w:rPr>
          <w:rFonts w:ascii="Palatino Linotype" w:hAnsi="Palatino Linotype"/>
        </w:rPr>
      </w:pPr>
    </w:p>
    <w:p w:rsidR="00B82301" w:rsidRDefault="005C6F08" w:rsidP="0036258D">
      <w:pPr>
        <w:spacing w:after="0" w:line="360" w:lineRule="auto"/>
        <w:rPr>
          <w:rFonts w:ascii="Palatino Linotype" w:hAnsi="Palatino Linotype"/>
        </w:rPr>
      </w:pPr>
      <w:r w:rsidRPr="00E376E0">
        <w:rPr>
          <w:rFonts w:ascii="Palatino Linotype" w:hAnsi="Palatino Linotype"/>
        </w:rPr>
        <w:lastRenderedPageBreak/>
        <w:t>The law is not specific regarding what must be done</w:t>
      </w:r>
      <w:r w:rsidR="003A58FC">
        <w:rPr>
          <w:rFonts w:ascii="Palatino Linotype" w:hAnsi="Palatino Linotype"/>
        </w:rPr>
        <w:t xml:space="preserve"> to satisfy a diligent search</w:t>
      </w:r>
      <w:r w:rsidRPr="00E376E0">
        <w:rPr>
          <w:rFonts w:ascii="Palatino Linotype" w:hAnsi="Palatino Linotype"/>
        </w:rPr>
        <w:t xml:space="preserve">.  The judge will usually want to see “generic” efforts (e.g., checking last known addresses, telephone directories, criminal court case records, D.C. Jail, and the </w:t>
      </w:r>
      <w:r w:rsidR="00505A90">
        <w:rPr>
          <w:rFonts w:ascii="Palatino Linotype" w:hAnsi="Palatino Linotype"/>
        </w:rPr>
        <w:t>F</w:t>
      </w:r>
      <w:r w:rsidRPr="00E376E0">
        <w:rPr>
          <w:rFonts w:ascii="Palatino Linotype" w:hAnsi="Palatino Linotype"/>
        </w:rPr>
        <w:t>ederal Bureau of Prisons) and also any case-specific efforts that can be made (e.g., che</w:t>
      </w:r>
      <w:r w:rsidR="008D3B73">
        <w:rPr>
          <w:rFonts w:ascii="Palatino Linotype" w:hAnsi="Palatino Linotype"/>
        </w:rPr>
        <w:t>cking with known family members or former employees</w:t>
      </w:r>
      <w:r w:rsidRPr="00E376E0">
        <w:rPr>
          <w:rFonts w:ascii="Palatino Linotype" w:hAnsi="Palatino Linotype"/>
        </w:rPr>
        <w:t xml:space="preserve">).  </w:t>
      </w:r>
      <w:r w:rsidR="0036258D">
        <w:rPr>
          <w:rFonts w:ascii="Palatino Linotype" w:hAnsi="Palatino Linotype"/>
        </w:rPr>
        <w:t xml:space="preserve">DC Bar has a form for completing the motion, along with a worksheet to demonstrate attempts made to serve the party: </w:t>
      </w:r>
      <w:r w:rsidR="00505A90">
        <w:rPr>
          <w:rFonts w:ascii="Palatino Linotype" w:hAnsi="Palatino Linotype"/>
        </w:rPr>
        <w:t xml:space="preserve"> </w:t>
      </w:r>
      <w:hyperlink r:id="rId9" w:history="1">
        <w:r w:rsidR="00FF1E0E" w:rsidRPr="00B07479">
          <w:rPr>
            <w:rStyle w:val="Hyperlink"/>
            <w:rFonts w:ascii="Palatino Linotype" w:hAnsi="Palatino Linotype"/>
          </w:rPr>
          <w:t>http://www.lawhelp.org/files/7C92C43F-9283-A7E0-5931-E57134E903FB/attachments/959918D5-DB2B-4F1B-A70A160C074BBD8B/service_of_process_motion_to_serve_by_publication_or_postingsept2011.pdf</w:t>
        </w:r>
      </w:hyperlink>
    </w:p>
    <w:p w:rsidR="00326E64" w:rsidRDefault="00326E64" w:rsidP="0036258D">
      <w:pPr>
        <w:spacing w:after="0" w:line="360" w:lineRule="auto"/>
        <w:rPr>
          <w:rFonts w:ascii="Palatino Linotype" w:hAnsi="Palatino Linotype"/>
        </w:rPr>
      </w:pPr>
    </w:p>
    <w:p w:rsidR="00D043AE" w:rsidRDefault="00326E64" w:rsidP="0036258D">
      <w:pPr>
        <w:spacing w:after="0" w:line="360" w:lineRule="auto"/>
        <w:rPr>
          <w:rFonts w:ascii="Palatino Linotype" w:hAnsi="Palatino Linotype"/>
        </w:rPr>
      </w:pPr>
      <w:r>
        <w:rPr>
          <w:rFonts w:ascii="Palatino Linotype" w:hAnsi="Palatino Linotype"/>
        </w:rPr>
        <w:t xml:space="preserve">To demonstrate to </w:t>
      </w:r>
      <w:r w:rsidR="0002039C">
        <w:rPr>
          <w:rFonts w:ascii="Palatino Linotype" w:hAnsi="Palatino Linotype"/>
        </w:rPr>
        <w:t xml:space="preserve">the court that a serious effort has been made to find the </w:t>
      </w:r>
      <w:r w:rsidR="00256472">
        <w:rPr>
          <w:rFonts w:ascii="Palatino Linotype" w:hAnsi="Palatino Linotype"/>
        </w:rPr>
        <w:t>party</w:t>
      </w:r>
      <w:r w:rsidR="0002039C">
        <w:rPr>
          <w:rFonts w:ascii="Palatino Linotype" w:hAnsi="Palatino Linotype"/>
        </w:rPr>
        <w:t>,</w:t>
      </w:r>
      <w:r>
        <w:rPr>
          <w:rFonts w:ascii="Palatino Linotype" w:hAnsi="Palatino Linotype"/>
        </w:rPr>
        <w:t xml:space="preserve"> the</w:t>
      </w:r>
      <w:r w:rsidR="00B82301">
        <w:rPr>
          <w:rFonts w:ascii="Palatino Linotype" w:hAnsi="Palatino Linotype"/>
        </w:rPr>
        <w:t xml:space="preserve"> movant must conduct a diligent</w:t>
      </w:r>
      <w:r w:rsidR="0002039C">
        <w:rPr>
          <w:rFonts w:ascii="Palatino Linotype" w:hAnsi="Palatino Linotype"/>
        </w:rPr>
        <w:t xml:space="preserve"> search</w:t>
      </w:r>
      <w:r>
        <w:rPr>
          <w:rFonts w:ascii="Palatino Linotype" w:hAnsi="Palatino Linotype"/>
        </w:rPr>
        <w:t xml:space="preserve"> to locate the party</w:t>
      </w:r>
      <w:r w:rsidRPr="003A55B9">
        <w:rPr>
          <w:rFonts w:ascii="Palatino Linotype" w:hAnsi="Palatino Linotype"/>
          <w:b/>
        </w:rPr>
        <w:t xml:space="preserve">. </w:t>
      </w:r>
      <w:r w:rsidR="00D043AE" w:rsidRPr="003A55B9">
        <w:rPr>
          <w:rFonts w:ascii="Palatino Linotype" w:hAnsi="Palatino Linotype"/>
          <w:b/>
        </w:rPr>
        <w:t>Be sure to keep a detailed list</w:t>
      </w:r>
      <w:r w:rsidRPr="003A55B9">
        <w:rPr>
          <w:rFonts w:ascii="Palatino Linotype" w:hAnsi="Palatino Linotype"/>
          <w:b/>
        </w:rPr>
        <w:t xml:space="preserve"> of all efforts</w:t>
      </w:r>
      <w:r w:rsidR="00256472" w:rsidRPr="003A55B9">
        <w:rPr>
          <w:rFonts w:ascii="Palatino Linotype" w:hAnsi="Palatino Linotype"/>
          <w:b/>
        </w:rPr>
        <w:t xml:space="preserve"> that includes the date</w:t>
      </w:r>
      <w:r w:rsidRPr="003A55B9">
        <w:rPr>
          <w:rFonts w:ascii="Palatino Linotype" w:hAnsi="Palatino Linotype"/>
          <w:b/>
        </w:rPr>
        <w:t xml:space="preserve">, the search performed, </w:t>
      </w:r>
      <w:r w:rsidR="00D043AE" w:rsidRPr="003A55B9">
        <w:rPr>
          <w:rFonts w:ascii="Palatino Linotype" w:hAnsi="Palatino Linotype"/>
          <w:b/>
        </w:rPr>
        <w:t xml:space="preserve">and </w:t>
      </w:r>
      <w:r w:rsidR="00256472" w:rsidRPr="003A55B9">
        <w:rPr>
          <w:rFonts w:ascii="Palatino Linotype" w:hAnsi="Palatino Linotype"/>
          <w:b/>
        </w:rPr>
        <w:t>the name(s)</w:t>
      </w:r>
      <w:r w:rsidRPr="003A55B9">
        <w:rPr>
          <w:rFonts w:ascii="Palatino Linotype" w:hAnsi="Palatino Linotype"/>
          <w:b/>
        </w:rPr>
        <w:t xml:space="preserve"> and contact information </w:t>
      </w:r>
      <w:r w:rsidR="00D043AE" w:rsidRPr="003A55B9">
        <w:rPr>
          <w:rFonts w:ascii="Palatino Linotype" w:hAnsi="Palatino Linotype"/>
          <w:b/>
        </w:rPr>
        <w:t xml:space="preserve">of </w:t>
      </w:r>
      <w:r w:rsidRPr="003A55B9">
        <w:rPr>
          <w:rFonts w:ascii="Palatino Linotype" w:hAnsi="Palatino Linotype"/>
          <w:b/>
        </w:rPr>
        <w:t>any</w:t>
      </w:r>
      <w:r w:rsidR="00256472" w:rsidRPr="003A55B9">
        <w:rPr>
          <w:rFonts w:ascii="Palatino Linotype" w:hAnsi="Palatino Linotype"/>
          <w:b/>
        </w:rPr>
        <w:t xml:space="preserve"> </w:t>
      </w:r>
      <w:r w:rsidR="00D043AE" w:rsidRPr="003A55B9">
        <w:rPr>
          <w:rFonts w:ascii="Palatino Linotype" w:hAnsi="Palatino Linotype"/>
          <w:b/>
        </w:rPr>
        <w:t>person</w:t>
      </w:r>
      <w:r w:rsidR="00256472" w:rsidRPr="003A55B9">
        <w:rPr>
          <w:rFonts w:ascii="Palatino Linotype" w:hAnsi="Palatino Linotype"/>
          <w:b/>
        </w:rPr>
        <w:t>(</w:t>
      </w:r>
      <w:r w:rsidR="00D043AE" w:rsidRPr="003A55B9">
        <w:rPr>
          <w:rFonts w:ascii="Palatino Linotype" w:hAnsi="Palatino Linotype"/>
          <w:b/>
        </w:rPr>
        <w:t>s</w:t>
      </w:r>
      <w:r w:rsidR="00256472" w:rsidRPr="003A55B9">
        <w:rPr>
          <w:rFonts w:ascii="Palatino Linotype" w:hAnsi="Palatino Linotype"/>
          <w:b/>
        </w:rPr>
        <w:t xml:space="preserve">) </w:t>
      </w:r>
      <w:r w:rsidRPr="003A55B9">
        <w:rPr>
          <w:rFonts w:ascii="Palatino Linotype" w:hAnsi="Palatino Linotype"/>
          <w:b/>
        </w:rPr>
        <w:t>contacted or spoken to in the course of the investigation</w:t>
      </w:r>
      <w:r>
        <w:rPr>
          <w:rFonts w:ascii="Palatino Linotype" w:hAnsi="Palatino Linotype"/>
        </w:rPr>
        <w:t>.</w:t>
      </w:r>
    </w:p>
    <w:p w:rsidR="003A58FC" w:rsidRPr="003A58FC" w:rsidRDefault="003A58FC" w:rsidP="003A58FC">
      <w:pPr>
        <w:pStyle w:val="ListParagraph"/>
        <w:numPr>
          <w:ilvl w:val="0"/>
          <w:numId w:val="20"/>
        </w:numPr>
        <w:spacing w:after="0" w:line="360" w:lineRule="auto"/>
        <w:rPr>
          <w:rFonts w:ascii="Palatino Linotype" w:hAnsi="Palatino Linotype"/>
          <w:i/>
        </w:rPr>
      </w:pPr>
      <w:r w:rsidRPr="003A58FC">
        <w:rPr>
          <w:rFonts w:ascii="Palatino Linotype" w:hAnsi="Palatino Linotype"/>
          <w:i/>
        </w:rPr>
        <w:t xml:space="preserve">NOTE: It is often a good idea for someone other than the lawyer on the case to perform the searches or attempts to serve. In the event the search yields the individual, service must be performed by a person over the age of 18 who is not a party to the action. </w:t>
      </w:r>
    </w:p>
    <w:p w:rsidR="00E376E0" w:rsidRDefault="00E376E0" w:rsidP="0036258D">
      <w:pPr>
        <w:spacing w:after="0" w:line="360" w:lineRule="auto"/>
        <w:rPr>
          <w:rFonts w:ascii="Palatino Linotype" w:hAnsi="Palatino Linotype"/>
        </w:rPr>
      </w:pPr>
    </w:p>
    <w:p w:rsidR="002B423A" w:rsidRPr="003A58FC" w:rsidRDefault="00FE4B0B" w:rsidP="0036258D">
      <w:pPr>
        <w:spacing w:after="0" w:line="360" w:lineRule="auto"/>
        <w:rPr>
          <w:rFonts w:ascii="Palatino Linotype" w:hAnsi="Palatino Linotype"/>
          <w:b/>
        </w:rPr>
      </w:pPr>
      <w:r w:rsidRPr="003A58FC">
        <w:rPr>
          <w:rFonts w:ascii="Palatino Linotype" w:hAnsi="Palatino Linotype"/>
          <w:b/>
        </w:rPr>
        <w:t>The following is a checklist for a</w:t>
      </w:r>
      <w:r w:rsidR="00326E64" w:rsidRPr="003A58FC">
        <w:rPr>
          <w:rFonts w:ascii="Palatino Linotype" w:hAnsi="Palatino Linotype"/>
          <w:b/>
        </w:rPr>
        <w:t xml:space="preserve"> person performing a</w:t>
      </w:r>
      <w:r w:rsidRPr="003A58FC">
        <w:rPr>
          <w:rFonts w:ascii="Palatino Linotype" w:hAnsi="Palatino Linotype"/>
          <w:b/>
        </w:rPr>
        <w:t xml:space="preserve"> diligent search in a custody case:</w:t>
      </w:r>
    </w:p>
    <w:p w:rsidR="00C0167A" w:rsidRPr="000A30D7" w:rsidRDefault="00C0167A" w:rsidP="0036258D">
      <w:pPr>
        <w:pStyle w:val="ListParagraph"/>
        <w:numPr>
          <w:ilvl w:val="0"/>
          <w:numId w:val="6"/>
        </w:numPr>
        <w:spacing w:after="0" w:line="360" w:lineRule="auto"/>
        <w:rPr>
          <w:rFonts w:ascii="Palatino Linotype" w:hAnsi="Palatino Linotype"/>
        </w:rPr>
      </w:pPr>
      <w:r w:rsidRPr="000A30D7">
        <w:rPr>
          <w:rFonts w:ascii="Palatino Linotype" w:hAnsi="Palatino Linotype"/>
        </w:rPr>
        <w:t>Call the last known phone number.</w:t>
      </w:r>
    </w:p>
    <w:p w:rsidR="003A55B9" w:rsidRDefault="003A58FC" w:rsidP="0036258D">
      <w:pPr>
        <w:numPr>
          <w:ilvl w:val="0"/>
          <w:numId w:val="6"/>
        </w:numPr>
        <w:spacing w:after="0" w:line="360" w:lineRule="auto"/>
        <w:rPr>
          <w:rFonts w:ascii="Palatino Linotype" w:hAnsi="Palatino Linotype"/>
        </w:rPr>
      </w:pPr>
      <w:r>
        <w:rPr>
          <w:rFonts w:ascii="Palatino Linotype" w:hAnsi="Palatino Linotype"/>
        </w:rPr>
        <w:t>Visit the last known address.</w:t>
      </w:r>
    </w:p>
    <w:p w:rsidR="003A58FC" w:rsidRPr="003A58FC" w:rsidRDefault="003A58FC" w:rsidP="003A58FC">
      <w:pPr>
        <w:numPr>
          <w:ilvl w:val="0"/>
          <w:numId w:val="6"/>
        </w:numPr>
        <w:spacing w:after="0" w:line="360" w:lineRule="auto"/>
        <w:rPr>
          <w:rFonts w:ascii="Palatino Linotype" w:hAnsi="Palatino Linotype"/>
        </w:rPr>
      </w:pPr>
      <w:r w:rsidRPr="000A30D7">
        <w:rPr>
          <w:rFonts w:ascii="Palatino Linotype" w:hAnsi="Palatino Linotype"/>
        </w:rPr>
        <w:t>Complete a Google search on the individual and his/her last known address.</w:t>
      </w:r>
    </w:p>
    <w:p w:rsidR="00C0167A" w:rsidRPr="003A55B9" w:rsidRDefault="00C0167A" w:rsidP="0036258D">
      <w:pPr>
        <w:numPr>
          <w:ilvl w:val="0"/>
          <w:numId w:val="6"/>
        </w:numPr>
        <w:spacing w:after="0" w:line="360" w:lineRule="auto"/>
        <w:rPr>
          <w:rFonts w:ascii="Palatino Linotype" w:hAnsi="Palatino Linotype"/>
        </w:rPr>
      </w:pPr>
      <w:r w:rsidRPr="003A55B9">
        <w:rPr>
          <w:rFonts w:ascii="Palatino Linotype" w:hAnsi="Palatino Linotype"/>
        </w:rPr>
        <w:t>Contact the last known employment.</w:t>
      </w:r>
    </w:p>
    <w:p w:rsidR="00C0167A" w:rsidRPr="000A30D7" w:rsidRDefault="00C0167A" w:rsidP="0036258D">
      <w:pPr>
        <w:numPr>
          <w:ilvl w:val="0"/>
          <w:numId w:val="6"/>
        </w:numPr>
        <w:spacing w:after="0" w:line="360" w:lineRule="auto"/>
        <w:rPr>
          <w:rFonts w:ascii="Palatino Linotype" w:hAnsi="Palatino Linotype"/>
        </w:rPr>
      </w:pPr>
      <w:r w:rsidRPr="000A30D7">
        <w:rPr>
          <w:rFonts w:ascii="Palatino Linotype" w:hAnsi="Palatino Linotype"/>
        </w:rPr>
        <w:t>Contact any known family members.</w:t>
      </w:r>
    </w:p>
    <w:p w:rsidR="00C0167A" w:rsidRPr="000A30D7" w:rsidRDefault="00C0167A" w:rsidP="0036258D">
      <w:pPr>
        <w:numPr>
          <w:ilvl w:val="0"/>
          <w:numId w:val="6"/>
        </w:numPr>
        <w:spacing w:after="0" w:line="360" w:lineRule="auto"/>
        <w:rPr>
          <w:rFonts w:ascii="Palatino Linotype" w:hAnsi="Palatino Linotype"/>
        </w:rPr>
      </w:pPr>
      <w:r w:rsidRPr="000A30D7">
        <w:rPr>
          <w:rFonts w:ascii="Palatino Linotype" w:hAnsi="Palatino Linotype"/>
        </w:rPr>
        <w:t>Check yellowpages.com, whitepages.com, yellowbook.com, switchboard.com</w:t>
      </w:r>
      <w:r w:rsidR="009B4ABD">
        <w:rPr>
          <w:rFonts w:ascii="Palatino Linotype" w:hAnsi="Palatino Linotype"/>
        </w:rPr>
        <w:t>, 411.com and other directory services.</w:t>
      </w:r>
    </w:p>
    <w:p w:rsidR="007057DE" w:rsidRPr="000A30D7" w:rsidRDefault="007057DE" w:rsidP="0036258D">
      <w:pPr>
        <w:numPr>
          <w:ilvl w:val="0"/>
          <w:numId w:val="6"/>
        </w:numPr>
        <w:spacing w:after="0" w:line="360" w:lineRule="auto"/>
        <w:rPr>
          <w:rFonts w:ascii="Palatino Linotype" w:hAnsi="Palatino Linotype"/>
        </w:rPr>
      </w:pPr>
      <w:r w:rsidRPr="000A30D7">
        <w:rPr>
          <w:rFonts w:ascii="Palatino Linotype" w:hAnsi="Palatino Linotype"/>
        </w:rPr>
        <w:t xml:space="preserve">Check social networking sites like Twitter and Facebook. </w:t>
      </w:r>
    </w:p>
    <w:p w:rsidR="00C0167A" w:rsidRPr="000A30D7" w:rsidRDefault="002B423A" w:rsidP="0036258D">
      <w:pPr>
        <w:numPr>
          <w:ilvl w:val="0"/>
          <w:numId w:val="6"/>
        </w:numPr>
        <w:spacing w:after="0" w:line="360" w:lineRule="auto"/>
        <w:rPr>
          <w:rFonts w:ascii="Palatino Linotype" w:hAnsi="Palatino Linotype"/>
        </w:rPr>
      </w:pPr>
      <w:r w:rsidRPr="000A30D7">
        <w:rPr>
          <w:rFonts w:ascii="Palatino Linotype" w:hAnsi="Palatino Linotype"/>
        </w:rPr>
        <w:t>Conduct a</w:t>
      </w:r>
      <w:r w:rsidR="00C0167A" w:rsidRPr="000A30D7">
        <w:rPr>
          <w:rFonts w:ascii="Palatino Linotype" w:hAnsi="Palatino Linotype"/>
        </w:rPr>
        <w:t xml:space="preserve"> </w:t>
      </w:r>
      <w:r w:rsidRPr="000A30D7">
        <w:rPr>
          <w:rFonts w:ascii="Palatino Linotype" w:hAnsi="Palatino Linotype"/>
        </w:rPr>
        <w:t>criminal and civil records check in D.C</w:t>
      </w:r>
      <w:r w:rsidR="00C0167A" w:rsidRPr="000A30D7">
        <w:rPr>
          <w:rFonts w:ascii="Palatino Linotype" w:hAnsi="Palatino Linotype"/>
        </w:rPr>
        <w:t>.</w:t>
      </w:r>
      <w:r w:rsidRPr="000A30D7">
        <w:rPr>
          <w:rFonts w:ascii="Palatino Linotype" w:hAnsi="Palatino Linotype"/>
        </w:rPr>
        <w:t>, Maryland, and Virginia.</w:t>
      </w:r>
    </w:p>
    <w:p w:rsidR="00320AC7" w:rsidRPr="000A30D7" w:rsidRDefault="00320AC7" w:rsidP="0036258D">
      <w:pPr>
        <w:pStyle w:val="ListParagraph"/>
        <w:numPr>
          <w:ilvl w:val="0"/>
          <w:numId w:val="10"/>
        </w:numPr>
        <w:spacing w:after="0" w:line="360" w:lineRule="auto"/>
        <w:rPr>
          <w:rFonts w:ascii="Palatino Linotype" w:hAnsi="Palatino Linotype"/>
        </w:rPr>
      </w:pPr>
      <w:r w:rsidRPr="000A30D7">
        <w:rPr>
          <w:rFonts w:ascii="Palatino Linotype" w:hAnsi="Palatino Linotype"/>
        </w:rPr>
        <w:t>Search D.C. court records her</w:t>
      </w:r>
      <w:r w:rsidRPr="003A55B9">
        <w:rPr>
          <w:rFonts w:ascii="Palatino Linotype" w:hAnsi="Palatino Linotype"/>
          <w:sz w:val="24"/>
          <w:szCs w:val="24"/>
        </w:rPr>
        <w:t xml:space="preserve">e: </w:t>
      </w:r>
      <w:hyperlink r:id="rId10" w:history="1">
        <w:r w:rsidRPr="003A55B9">
          <w:rPr>
            <w:rStyle w:val="Hyperlink"/>
            <w:rFonts w:ascii="Palatino Linotype" w:hAnsi="Palatino Linotype"/>
            <w:sz w:val="24"/>
            <w:szCs w:val="24"/>
          </w:rPr>
          <w:t>http://www.dccourts.gov/internet/CCO.jsf</w:t>
        </w:r>
      </w:hyperlink>
    </w:p>
    <w:p w:rsidR="00C0167A" w:rsidRPr="000A30D7" w:rsidRDefault="00C0167A" w:rsidP="0036258D">
      <w:pPr>
        <w:numPr>
          <w:ilvl w:val="1"/>
          <w:numId w:val="6"/>
        </w:numPr>
        <w:spacing w:after="0" w:line="360" w:lineRule="auto"/>
        <w:rPr>
          <w:rFonts w:ascii="Palatino Linotype" w:hAnsi="Palatino Linotype"/>
        </w:rPr>
      </w:pPr>
      <w:r w:rsidRPr="000A30D7">
        <w:rPr>
          <w:rFonts w:ascii="Palatino Linotype" w:hAnsi="Palatino Linotype"/>
        </w:rPr>
        <w:t>Search Maryland court records on Maryland Judiciary websi</w:t>
      </w:r>
      <w:r w:rsidR="002B423A" w:rsidRPr="000A30D7">
        <w:rPr>
          <w:rFonts w:ascii="Palatino Linotype" w:hAnsi="Palatino Linotype"/>
        </w:rPr>
        <w:t>te:</w:t>
      </w:r>
      <w:r w:rsidR="009B4ABD">
        <w:rPr>
          <w:rFonts w:ascii="Palatino Linotype" w:hAnsi="Palatino Linotype"/>
        </w:rPr>
        <w:t xml:space="preserve"> </w:t>
      </w:r>
      <w:hyperlink r:id="rId11" w:history="1">
        <w:r w:rsidR="009B4ABD" w:rsidRPr="009B4ABD">
          <w:rPr>
            <w:rStyle w:val="Hyperlink"/>
            <w:rFonts w:ascii="Palatino Linotype" w:hAnsi="Palatino Linotype"/>
          </w:rPr>
          <w:t>http://casesearch.courts.state.md.us/inquiry/inquiry-index.jsp</w:t>
        </w:r>
      </w:hyperlink>
      <w:r w:rsidR="002B423A" w:rsidRPr="000A30D7">
        <w:rPr>
          <w:rFonts w:ascii="Palatino Linotype" w:hAnsi="Palatino Linotype"/>
        </w:rPr>
        <w:t>.</w:t>
      </w:r>
    </w:p>
    <w:p w:rsidR="00C832F9" w:rsidRPr="000A30D7" w:rsidRDefault="00C0167A" w:rsidP="0036258D">
      <w:pPr>
        <w:numPr>
          <w:ilvl w:val="1"/>
          <w:numId w:val="6"/>
        </w:numPr>
        <w:spacing w:after="0" w:line="360" w:lineRule="auto"/>
        <w:rPr>
          <w:rFonts w:ascii="Palatino Linotype" w:hAnsi="Palatino Linotype"/>
        </w:rPr>
      </w:pPr>
      <w:r w:rsidRPr="000A30D7">
        <w:rPr>
          <w:rFonts w:ascii="Palatino Linotype" w:hAnsi="Palatino Linotype"/>
        </w:rPr>
        <w:t>Search court records of nearby Virginia Districts on Virginia’s Judicial System web</w:t>
      </w:r>
      <w:r w:rsidR="007268CA" w:rsidRPr="000A30D7">
        <w:rPr>
          <w:rFonts w:ascii="Palatino Linotype" w:hAnsi="Palatino Linotype"/>
        </w:rPr>
        <w:t xml:space="preserve">site </w:t>
      </w:r>
      <w:hyperlink r:id="rId12" w:history="1">
        <w:r w:rsidR="009B4ABD" w:rsidRPr="009B4ABD">
          <w:rPr>
            <w:rStyle w:val="Hyperlink"/>
            <w:rFonts w:ascii="Palatino Linotype" w:hAnsi="Palatino Linotype"/>
          </w:rPr>
          <w:t>http://courts.state.va.us/</w:t>
        </w:r>
      </w:hyperlink>
      <w:r w:rsidR="009B4ABD">
        <w:rPr>
          <w:rFonts w:ascii="Palatino Linotype" w:hAnsi="Palatino Linotype"/>
        </w:rPr>
        <w:t xml:space="preserve">. </w:t>
      </w:r>
      <w:r w:rsidR="00C832F9" w:rsidRPr="000A30D7">
        <w:rPr>
          <w:rFonts w:ascii="Palatino Linotype" w:hAnsi="Palatino Linotype"/>
        </w:rPr>
        <w:t>The search should include “all” (current and archived) data for n</w:t>
      </w:r>
      <w:r w:rsidR="002B423A" w:rsidRPr="000A30D7">
        <w:rPr>
          <w:rFonts w:ascii="Palatino Linotype" w:hAnsi="Palatino Linotype"/>
        </w:rPr>
        <w:t>eighboring counties</w:t>
      </w:r>
      <w:r w:rsidR="00EB48BF" w:rsidRPr="000A30D7">
        <w:rPr>
          <w:rFonts w:ascii="Palatino Linotype" w:hAnsi="Palatino Linotype"/>
        </w:rPr>
        <w:t xml:space="preserve"> such as </w:t>
      </w:r>
      <w:r w:rsidRPr="000A30D7">
        <w:rPr>
          <w:rFonts w:ascii="Palatino Linotype" w:hAnsi="Palatino Linotype"/>
        </w:rPr>
        <w:t>Alexandria</w:t>
      </w:r>
      <w:r w:rsidR="00C832F9" w:rsidRPr="000A30D7">
        <w:rPr>
          <w:rFonts w:ascii="Palatino Linotype" w:hAnsi="Palatino Linotype"/>
        </w:rPr>
        <w:t xml:space="preserve">, </w:t>
      </w:r>
      <w:r w:rsidRPr="000A30D7">
        <w:rPr>
          <w:rFonts w:ascii="Palatino Linotype" w:hAnsi="Palatino Linotype"/>
        </w:rPr>
        <w:t>Arlington</w:t>
      </w:r>
      <w:r w:rsidR="00C832F9" w:rsidRPr="000A30D7">
        <w:rPr>
          <w:rFonts w:ascii="Palatino Linotype" w:hAnsi="Palatino Linotype"/>
        </w:rPr>
        <w:t>,</w:t>
      </w:r>
      <w:r w:rsidRPr="000A30D7">
        <w:rPr>
          <w:rFonts w:ascii="Palatino Linotype" w:hAnsi="Palatino Linotype"/>
        </w:rPr>
        <w:t xml:space="preserve"> Fairfax </w:t>
      </w:r>
      <w:r w:rsidR="00C832F9" w:rsidRPr="000A30D7">
        <w:rPr>
          <w:rFonts w:ascii="Palatino Linotype" w:hAnsi="Palatino Linotype"/>
        </w:rPr>
        <w:t>City, Fairfax</w:t>
      </w:r>
      <w:r w:rsidRPr="000A30D7">
        <w:rPr>
          <w:rFonts w:ascii="Palatino Linotype" w:hAnsi="Palatino Linotype"/>
        </w:rPr>
        <w:t xml:space="preserve"> </w:t>
      </w:r>
      <w:r w:rsidR="00C832F9" w:rsidRPr="000A30D7">
        <w:rPr>
          <w:rFonts w:ascii="Palatino Linotype" w:hAnsi="Palatino Linotype"/>
        </w:rPr>
        <w:t>County, Falls</w:t>
      </w:r>
      <w:r w:rsidRPr="000A30D7">
        <w:rPr>
          <w:rFonts w:ascii="Palatino Linotype" w:hAnsi="Palatino Linotype"/>
        </w:rPr>
        <w:t xml:space="preserve"> Church Combined</w:t>
      </w:r>
      <w:r w:rsidR="00C832F9" w:rsidRPr="000A30D7">
        <w:rPr>
          <w:rFonts w:ascii="Palatino Linotype" w:hAnsi="Palatino Linotype"/>
        </w:rPr>
        <w:t>,</w:t>
      </w:r>
      <w:r w:rsidR="002B423A" w:rsidRPr="000A30D7">
        <w:rPr>
          <w:rFonts w:ascii="Palatino Linotype" w:hAnsi="Palatino Linotype"/>
        </w:rPr>
        <w:t xml:space="preserve"> Loudoun</w:t>
      </w:r>
      <w:r w:rsidR="00C832F9" w:rsidRPr="000A30D7">
        <w:rPr>
          <w:rFonts w:ascii="Palatino Linotype" w:hAnsi="Palatino Linotype"/>
        </w:rPr>
        <w:t xml:space="preserve"> </w:t>
      </w:r>
      <w:r w:rsidR="002B423A" w:rsidRPr="000A30D7">
        <w:rPr>
          <w:rFonts w:ascii="Palatino Linotype" w:hAnsi="Palatino Linotype"/>
        </w:rPr>
        <w:t>and Prince William</w:t>
      </w:r>
      <w:r w:rsidR="00C832F9" w:rsidRPr="000A30D7">
        <w:rPr>
          <w:rFonts w:ascii="Palatino Linotype" w:hAnsi="Palatino Linotype"/>
        </w:rPr>
        <w:t>.</w:t>
      </w:r>
      <w:r w:rsidR="00EB48BF" w:rsidRPr="000A30D7">
        <w:rPr>
          <w:rFonts w:ascii="Palatino Linotype" w:hAnsi="Palatino Linotype"/>
        </w:rPr>
        <w:t xml:space="preserve"> The website for information on a case in Circuit Court is </w:t>
      </w:r>
      <w:hyperlink r:id="rId13" w:history="1">
        <w:r w:rsidR="009B4ABD" w:rsidRPr="009B4ABD">
          <w:rPr>
            <w:rStyle w:val="Hyperlink"/>
            <w:rFonts w:ascii="Palatino Linotype" w:hAnsi="Palatino Linotype"/>
          </w:rPr>
          <w:t>http://wasdmz2.courts.state.va.us/CJISWeb/circuit.jsp</w:t>
        </w:r>
      </w:hyperlink>
      <w:r w:rsidR="00C832F9" w:rsidRPr="000A30D7">
        <w:rPr>
          <w:rFonts w:ascii="Palatino Linotype" w:hAnsi="Palatino Linotype"/>
        </w:rPr>
        <w:t>.</w:t>
      </w:r>
    </w:p>
    <w:p w:rsidR="00320AC7" w:rsidRPr="00320AC7" w:rsidRDefault="00320AC7" w:rsidP="0036258D">
      <w:pPr>
        <w:numPr>
          <w:ilvl w:val="0"/>
          <w:numId w:val="6"/>
        </w:numPr>
        <w:spacing w:after="0" w:line="360" w:lineRule="auto"/>
        <w:rPr>
          <w:rFonts w:ascii="Palatino Linotype" w:hAnsi="Palatino Linotype"/>
        </w:rPr>
      </w:pPr>
      <w:r>
        <w:rPr>
          <w:rFonts w:ascii="Palatino Linotype" w:hAnsi="Palatino Linotype"/>
        </w:rPr>
        <w:t>S</w:t>
      </w:r>
      <w:r w:rsidRPr="003A1EA5">
        <w:rPr>
          <w:rFonts w:ascii="Palatino Linotype" w:hAnsi="Palatino Linotype"/>
        </w:rPr>
        <w:t xml:space="preserve">end </w:t>
      </w:r>
      <w:r>
        <w:rPr>
          <w:rFonts w:ascii="Palatino Linotype" w:hAnsi="Palatino Linotype"/>
        </w:rPr>
        <w:t>a copy of the</w:t>
      </w:r>
      <w:r w:rsidRPr="003A1EA5">
        <w:rPr>
          <w:rFonts w:ascii="Palatino Linotype" w:hAnsi="Palatino Linotype"/>
        </w:rPr>
        <w:t xml:space="preserve"> complaint </w:t>
      </w:r>
      <w:r>
        <w:rPr>
          <w:rFonts w:ascii="Palatino Linotype" w:hAnsi="Palatino Linotype"/>
        </w:rPr>
        <w:t>via</w:t>
      </w:r>
      <w:r w:rsidRPr="003A1EA5">
        <w:rPr>
          <w:rFonts w:ascii="Palatino Linotype" w:hAnsi="Palatino Linotype"/>
        </w:rPr>
        <w:t xml:space="preserve"> certified mail-return receipt</w:t>
      </w:r>
      <w:r>
        <w:rPr>
          <w:rFonts w:ascii="Palatino Linotype" w:hAnsi="Palatino Linotype"/>
        </w:rPr>
        <w:t xml:space="preserve"> requested to all last known addresses. </w:t>
      </w:r>
    </w:p>
    <w:p w:rsidR="00C0167A" w:rsidRPr="009666D3" w:rsidRDefault="00C0167A" w:rsidP="0036258D">
      <w:pPr>
        <w:numPr>
          <w:ilvl w:val="0"/>
          <w:numId w:val="6"/>
        </w:numPr>
        <w:spacing w:after="0" w:line="360" w:lineRule="auto"/>
        <w:rPr>
          <w:rFonts w:ascii="Palatino Linotype" w:hAnsi="Palatino Linotype"/>
        </w:rPr>
      </w:pPr>
      <w:r w:rsidRPr="002B423A">
        <w:rPr>
          <w:rFonts w:ascii="Palatino Linotype" w:hAnsi="Palatino Linotype"/>
        </w:rPr>
        <w:t xml:space="preserve">Check </w:t>
      </w:r>
      <w:r w:rsidR="003A1EA5">
        <w:rPr>
          <w:rFonts w:ascii="Palatino Linotype" w:hAnsi="Palatino Linotype"/>
        </w:rPr>
        <w:t xml:space="preserve">inmate locator(s) both at a local and at a federal level. Local jurisdictions, generally speaking, have an online site through their department of corrections. </w:t>
      </w:r>
      <w:r w:rsidR="00320AC7">
        <w:rPr>
          <w:rFonts w:ascii="Palatino Linotype" w:hAnsi="Palatino Linotype"/>
        </w:rPr>
        <w:t xml:space="preserve">Persons incarcerated long-term through the DC court system are incarcerated in the federal system. </w:t>
      </w:r>
      <w:r w:rsidR="003A1EA5">
        <w:rPr>
          <w:rFonts w:ascii="Palatino Linotype" w:hAnsi="Palatino Linotype"/>
        </w:rPr>
        <w:t xml:space="preserve">The Federal </w:t>
      </w:r>
      <w:r w:rsidRPr="002B423A">
        <w:rPr>
          <w:rFonts w:ascii="Palatino Linotype" w:hAnsi="Palatino Linotype"/>
        </w:rPr>
        <w:t xml:space="preserve">Bureau of Prisons </w:t>
      </w:r>
      <w:r w:rsidR="00320AC7">
        <w:rPr>
          <w:rFonts w:ascii="Palatino Linotype" w:hAnsi="Palatino Linotype"/>
        </w:rPr>
        <w:t xml:space="preserve">has an inmate locator service available here:  </w:t>
      </w:r>
      <w:hyperlink r:id="rId14" w:history="1">
        <w:r w:rsidR="00320AC7" w:rsidRPr="00080CD9">
          <w:rPr>
            <w:rStyle w:val="Hyperlink"/>
            <w:rFonts w:ascii="Palatino Linotype" w:hAnsi="Palatino Linotype"/>
          </w:rPr>
          <w:t>http://www.bop.gov</w:t>
        </w:r>
      </w:hyperlink>
      <w:r w:rsidR="00320AC7" w:rsidRPr="002B423A">
        <w:rPr>
          <w:rFonts w:ascii="Palatino Linotype" w:hAnsi="Palatino Linotype"/>
        </w:rPr>
        <w:t>.</w:t>
      </w:r>
      <w:r w:rsidR="00320AC7">
        <w:rPr>
          <w:rFonts w:ascii="Palatino Linotype" w:hAnsi="Palatino Linotype"/>
        </w:rPr>
        <w:t xml:space="preserve">  </w:t>
      </w:r>
    </w:p>
    <w:p w:rsidR="00C0167A" w:rsidRPr="002B423A" w:rsidRDefault="009666D3" w:rsidP="0036258D">
      <w:pPr>
        <w:numPr>
          <w:ilvl w:val="0"/>
          <w:numId w:val="6"/>
        </w:numPr>
        <w:spacing w:after="0" w:line="360" w:lineRule="auto"/>
        <w:rPr>
          <w:rFonts w:ascii="Palatino Linotype" w:hAnsi="Palatino Linotype"/>
        </w:rPr>
      </w:pPr>
      <w:r>
        <w:rPr>
          <w:rFonts w:ascii="Palatino Linotype" w:hAnsi="Palatino Linotype"/>
        </w:rPr>
        <w:t>Call</w:t>
      </w:r>
      <w:r w:rsidR="009362B2">
        <w:rPr>
          <w:rFonts w:ascii="Palatino Linotype" w:hAnsi="Palatino Linotype"/>
        </w:rPr>
        <w:t xml:space="preserve"> h</w:t>
      </w:r>
      <w:r>
        <w:rPr>
          <w:rFonts w:ascii="Palatino Linotype" w:hAnsi="Palatino Linotype"/>
        </w:rPr>
        <w:t>ospitals.</w:t>
      </w:r>
      <w:r w:rsidR="00EB48BF">
        <w:rPr>
          <w:rFonts w:ascii="Palatino Linotype" w:hAnsi="Palatino Linotype"/>
        </w:rPr>
        <w:t xml:space="preserve"> B</w:t>
      </w:r>
      <w:r w:rsidR="009362B2">
        <w:rPr>
          <w:rFonts w:ascii="Palatino Linotype" w:hAnsi="Palatino Linotype"/>
        </w:rPr>
        <w:t>elow is a non-exhaustive list of local D.C. hospitals:</w:t>
      </w:r>
    </w:p>
    <w:p w:rsidR="00C0167A" w:rsidRPr="002B423A" w:rsidRDefault="00C0167A" w:rsidP="0036258D">
      <w:pPr>
        <w:numPr>
          <w:ilvl w:val="1"/>
          <w:numId w:val="6"/>
        </w:numPr>
        <w:spacing w:after="0" w:line="360" w:lineRule="auto"/>
        <w:rPr>
          <w:rFonts w:ascii="Palatino Linotype" w:hAnsi="Palatino Linotype"/>
        </w:rPr>
      </w:pPr>
      <w:r w:rsidRPr="002B423A">
        <w:rPr>
          <w:rFonts w:ascii="Palatino Linotype" w:hAnsi="Palatino Linotype"/>
        </w:rPr>
        <w:t>Georgetown University Hospital</w:t>
      </w:r>
      <w:r w:rsidR="00AB581D">
        <w:rPr>
          <w:rFonts w:ascii="Palatino Linotype" w:hAnsi="Palatino Linotype"/>
        </w:rPr>
        <w:t>:</w:t>
      </w:r>
      <w:r w:rsidRPr="002B423A">
        <w:rPr>
          <w:rFonts w:ascii="Palatino Linotype" w:hAnsi="Palatino Linotype"/>
        </w:rPr>
        <w:t xml:space="preserve"> 202-444-2000</w:t>
      </w:r>
    </w:p>
    <w:p w:rsidR="00C0167A" w:rsidRPr="002B423A" w:rsidRDefault="00C0167A" w:rsidP="0036258D">
      <w:pPr>
        <w:numPr>
          <w:ilvl w:val="1"/>
          <w:numId w:val="6"/>
        </w:numPr>
        <w:spacing w:after="0" w:line="360" w:lineRule="auto"/>
        <w:rPr>
          <w:rFonts w:ascii="Palatino Linotype" w:hAnsi="Palatino Linotype"/>
        </w:rPr>
      </w:pPr>
      <w:r w:rsidRPr="002B423A">
        <w:rPr>
          <w:rFonts w:ascii="Palatino Linotype" w:hAnsi="Palatino Linotype"/>
        </w:rPr>
        <w:t>GW University Hospital</w:t>
      </w:r>
      <w:r w:rsidR="00AB581D">
        <w:rPr>
          <w:rFonts w:ascii="Palatino Linotype" w:hAnsi="Palatino Linotype"/>
        </w:rPr>
        <w:t>:</w:t>
      </w:r>
      <w:r w:rsidRPr="002B423A">
        <w:rPr>
          <w:rFonts w:ascii="Palatino Linotype" w:hAnsi="Palatino Linotype"/>
        </w:rPr>
        <w:t xml:space="preserve"> 202-715-4000</w:t>
      </w:r>
    </w:p>
    <w:p w:rsidR="00C0167A" w:rsidRPr="002B423A" w:rsidRDefault="00C0167A" w:rsidP="0036258D">
      <w:pPr>
        <w:numPr>
          <w:ilvl w:val="1"/>
          <w:numId w:val="6"/>
        </w:numPr>
        <w:spacing w:after="0" w:line="360" w:lineRule="auto"/>
        <w:rPr>
          <w:rFonts w:ascii="Palatino Linotype" w:hAnsi="Palatino Linotype"/>
        </w:rPr>
      </w:pPr>
      <w:r w:rsidRPr="002B423A">
        <w:rPr>
          <w:rFonts w:ascii="Palatino Linotype" w:hAnsi="Palatino Linotype"/>
        </w:rPr>
        <w:t>Howard University Hospital</w:t>
      </w:r>
      <w:r w:rsidR="00AB581D">
        <w:rPr>
          <w:rFonts w:ascii="Palatino Linotype" w:hAnsi="Palatino Linotype"/>
        </w:rPr>
        <w:t>:</w:t>
      </w:r>
      <w:r w:rsidRPr="002B423A">
        <w:rPr>
          <w:rFonts w:ascii="Palatino Linotype" w:hAnsi="Palatino Linotype"/>
        </w:rPr>
        <w:t xml:space="preserve"> 202-865-6100</w:t>
      </w:r>
    </w:p>
    <w:p w:rsidR="00C0167A" w:rsidRPr="002B423A" w:rsidRDefault="00C0167A" w:rsidP="0036258D">
      <w:pPr>
        <w:numPr>
          <w:ilvl w:val="1"/>
          <w:numId w:val="6"/>
        </w:numPr>
        <w:spacing w:after="0" w:line="360" w:lineRule="auto"/>
        <w:rPr>
          <w:rFonts w:ascii="Palatino Linotype" w:hAnsi="Palatino Linotype"/>
        </w:rPr>
      </w:pPr>
      <w:r w:rsidRPr="002B423A">
        <w:rPr>
          <w:rFonts w:ascii="Palatino Linotype" w:hAnsi="Palatino Linotype"/>
        </w:rPr>
        <w:t>N</w:t>
      </w:r>
      <w:r w:rsidR="00AB581D">
        <w:rPr>
          <w:rFonts w:ascii="Palatino Linotype" w:hAnsi="Palatino Linotype"/>
        </w:rPr>
        <w:t xml:space="preserve">ational Rehabilitation Hospital: </w:t>
      </w:r>
      <w:r w:rsidRPr="002B423A">
        <w:rPr>
          <w:rFonts w:ascii="Palatino Linotype" w:hAnsi="Palatino Linotype"/>
        </w:rPr>
        <w:t>202-877-1000</w:t>
      </w:r>
    </w:p>
    <w:p w:rsidR="00C0167A" w:rsidRPr="002B423A" w:rsidRDefault="00C0167A" w:rsidP="0036258D">
      <w:pPr>
        <w:numPr>
          <w:ilvl w:val="1"/>
          <w:numId w:val="6"/>
        </w:numPr>
        <w:spacing w:after="0" w:line="360" w:lineRule="auto"/>
        <w:rPr>
          <w:rFonts w:ascii="Palatino Linotype" w:hAnsi="Palatino Linotype"/>
        </w:rPr>
      </w:pPr>
      <w:r w:rsidRPr="002B423A">
        <w:rPr>
          <w:rFonts w:ascii="Palatino Linotype" w:hAnsi="Palatino Linotype"/>
        </w:rPr>
        <w:t>Providence Hospital</w:t>
      </w:r>
      <w:r w:rsidR="00AB581D">
        <w:rPr>
          <w:rFonts w:ascii="Palatino Linotype" w:hAnsi="Palatino Linotype"/>
        </w:rPr>
        <w:t>:</w:t>
      </w:r>
      <w:r w:rsidRPr="002B423A">
        <w:rPr>
          <w:rFonts w:ascii="Palatino Linotype" w:hAnsi="Palatino Linotype"/>
        </w:rPr>
        <w:t xml:space="preserve"> 202-269-7000</w:t>
      </w:r>
    </w:p>
    <w:p w:rsidR="00C0167A" w:rsidRPr="002B423A" w:rsidRDefault="00C0167A" w:rsidP="0036258D">
      <w:pPr>
        <w:numPr>
          <w:ilvl w:val="1"/>
          <w:numId w:val="6"/>
        </w:numPr>
        <w:spacing w:after="0" w:line="360" w:lineRule="auto"/>
        <w:rPr>
          <w:rFonts w:ascii="Palatino Linotype" w:hAnsi="Palatino Linotype"/>
        </w:rPr>
      </w:pPr>
      <w:r w:rsidRPr="002B423A">
        <w:rPr>
          <w:rFonts w:ascii="Palatino Linotype" w:hAnsi="Palatino Linotype"/>
        </w:rPr>
        <w:t>Sibley Memorial Hospital</w:t>
      </w:r>
      <w:r w:rsidR="00AB581D">
        <w:rPr>
          <w:rFonts w:ascii="Palatino Linotype" w:hAnsi="Palatino Linotype"/>
        </w:rPr>
        <w:t>:</w:t>
      </w:r>
      <w:r w:rsidRPr="002B423A">
        <w:rPr>
          <w:rFonts w:ascii="Palatino Linotype" w:hAnsi="Palatino Linotype"/>
        </w:rPr>
        <w:t xml:space="preserve"> 202-537-4000</w:t>
      </w:r>
    </w:p>
    <w:p w:rsidR="00C0167A" w:rsidRPr="002B423A" w:rsidRDefault="00AB581D" w:rsidP="0036258D">
      <w:pPr>
        <w:numPr>
          <w:ilvl w:val="1"/>
          <w:numId w:val="6"/>
        </w:numPr>
        <w:spacing w:after="0" w:line="360" w:lineRule="auto"/>
        <w:rPr>
          <w:rFonts w:ascii="Palatino Linotype" w:hAnsi="Palatino Linotype"/>
        </w:rPr>
      </w:pPr>
      <w:r>
        <w:rPr>
          <w:rFonts w:ascii="Palatino Linotype" w:hAnsi="Palatino Linotype"/>
        </w:rPr>
        <w:t xml:space="preserve">Washington Hospital Center: </w:t>
      </w:r>
      <w:r w:rsidR="00C0167A" w:rsidRPr="002B423A">
        <w:rPr>
          <w:rFonts w:ascii="Palatino Linotype" w:hAnsi="Palatino Linotype"/>
        </w:rPr>
        <w:t>202-877-7000</w:t>
      </w:r>
    </w:p>
    <w:p w:rsidR="00C0167A" w:rsidRPr="002B423A" w:rsidRDefault="00C0167A" w:rsidP="0036258D">
      <w:pPr>
        <w:numPr>
          <w:ilvl w:val="1"/>
          <w:numId w:val="6"/>
        </w:numPr>
        <w:spacing w:after="0" w:line="360" w:lineRule="auto"/>
        <w:rPr>
          <w:rFonts w:ascii="Palatino Linotype" w:hAnsi="Palatino Linotype"/>
        </w:rPr>
      </w:pPr>
      <w:r w:rsidRPr="002B423A">
        <w:rPr>
          <w:rFonts w:ascii="Palatino Linotype" w:hAnsi="Palatino Linotype"/>
        </w:rPr>
        <w:t>Greater Southeast Community Hospital</w:t>
      </w:r>
      <w:r w:rsidR="00AB581D">
        <w:rPr>
          <w:rFonts w:ascii="Palatino Linotype" w:hAnsi="Palatino Linotype"/>
        </w:rPr>
        <w:t>:</w:t>
      </w:r>
      <w:r w:rsidRPr="002B423A">
        <w:rPr>
          <w:rFonts w:ascii="Palatino Linotype" w:hAnsi="Palatino Linotype"/>
        </w:rPr>
        <w:t xml:space="preserve"> 202-574-6000</w:t>
      </w:r>
    </w:p>
    <w:p w:rsidR="00C0167A" w:rsidRPr="00C832F9" w:rsidRDefault="00C0167A" w:rsidP="0036258D">
      <w:pPr>
        <w:numPr>
          <w:ilvl w:val="1"/>
          <w:numId w:val="6"/>
        </w:numPr>
        <w:spacing w:after="0" w:line="360" w:lineRule="auto"/>
        <w:rPr>
          <w:rFonts w:ascii="Palatino Linotype" w:hAnsi="Palatino Linotype"/>
        </w:rPr>
      </w:pPr>
      <w:r w:rsidRPr="002B423A">
        <w:rPr>
          <w:rFonts w:ascii="Palatino Linotype" w:hAnsi="Palatino Linotype"/>
        </w:rPr>
        <w:t>Hadley Memorial Hospital</w:t>
      </w:r>
      <w:r w:rsidR="00AB581D">
        <w:rPr>
          <w:rFonts w:ascii="Palatino Linotype" w:hAnsi="Palatino Linotype"/>
        </w:rPr>
        <w:t>: 202-574-5700</w:t>
      </w:r>
    </w:p>
    <w:p w:rsidR="003A1EA5" w:rsidRPr="000F3419" w:rsidRDefault="00C0167A" w:rsidP="0036258D">
      <w:pPr>
        <w:numPr>
          <w:ilvl w:val="0"/>
          <w:numId w:val="6"/>
        </w:numPr>
        <w:spacing w:after="0" w:line="360" w:lineRule="auto"/>
        <w:rPr>
          <w:rFonts w:ascii="Palatino Linotype" w:hAnsi="Palatino Linotype"/>
        </w:rPr>
      </w:pPr>
      <w:r w:rsidRPr="002B423A">
        <w:rPr>
          <w:rFonts w:ascii="Palatino Linotype" w:hAnsi="Palatino Linotype"/>
        </w:rPr>
        <w:t xml:space="preserve">Call </w:t>
      </w:r>
      <w:r w:rsidR="00C832F9">
        <w:rPr>
          <w:rFonts w:ascii="Palatino Linotype" w:hAnsi="Palatino Linotype"/>
        </w:rPr>
        <w:t>s</w:t>
      </w:r>
      <w:r w:rsidRPr="002B423A">
        <w:rPr>
          <w:rFonts w:ascii="Palatino Linotype" w:hAnsi="Palatino Linotype"/>
        </w:rPr>
        <w:t xml:space="preserve">helters.  </w:t>
      </w:r>
      <w:r w:rsidR="00C832F9">
        <w:rPr>
          <w:rFonts w:ascii="Palatino Linotype" w:hAnsi="Palatino Linotype"/>
        </w:rPr>
        <w:t>When calling</w:t>
      </w:r>
      <w:r w:rsidR="009B4ABD">
        <w:rPr>
          <w:rFonts w:ascii="Palatino Linotype" w:hAnsi="Palatino Linotype"/>
        </w:rPr>
        <w:t>,</w:t>
      </w:r>
      <w:r w:rsidR="00BB55D7">
        <w:rPr>
          <w:rFonts w:ascii="Palatino Linotype" w:hAnsi="Palatino Linotype"/>
        </w:rPr>
        <w:t xml:space="preserve"> </w:t>
      </w:r>
      <w:r w:rsidR="00C832F9">
        <w:rPr>
          <w:rFonts w:ascii="Palatino Linotype" w:hAnsi="Palatino Linotype"/>
        </w:rPr>
        <w:t xml:space="preserve">keep in mind that </w:t>
      </w:r>
      <w:r w:rsidR="00BB55D7">
        <w:rPr>
          <w:rFonts w:ascii="Palatino Linotype" w:hAnsi="Palatino Linotype"/>
        </w:rPr>
        <w:t>some</w:t>
      </w:r>
      <w:r w:rsidR="009666D3">
        <w:rPr>
          <w:rFonts w:ascii="Palatino Linotype" w:hAnsi="Palatino Linotype"/>
        </w:rPr>
        <w:t xml:space="preserve"> shelters</w:t>
      </w:r>
      <w:r w:rsidR="00C832F9">
        <w:rPr>
          <w:rFonts w:ascii="Palatino Linotype" w:hAnsi="Palatino Linotype"/>
        </w:rPr>
        <w:t xml:space="preserve"> </w:t>
      </w:r>
      <w:r w:rsidR="009666D3">
        <w:rPr>
          <w:rFonts w:ascii="Palatino Linotype" w:hAnsi="Palatino Linotype"/>
        </w:rPr>
        <w:t>are</w:t>
      </w:r>
      <w:r w:rsidR="00C832F9">
        <w:rPr>
          <w:rFonts w:ascii="Palatino Linotype" w:hAnsi="Palatino Linotype"/>
        </w:rPr>
        <w:t xml:space="preserve"> </w:t>
      </w:r>
      <w:r w:rsidR="00EB48BF">
        <w:rPr>
          <w:rFonts w:ascii="Palatino Linotype" w:hAnsi="Palatino Linotype"/>
        </w:rPr>
        <w:t xml:space="preserve">only open during </w:t>
      </w:r>
      <w:r w:rsidR="00BB55D7">
        <w:rPr>
          <w:rFonts w:ascii="Palatino Linotype" w:hAnsi="Palatino Linotype"/>
        </w:rPr>
        <w:t xml:space="preserve">the </w:t>
      </w:r>
      <w:r w:rsidR="009666D3">
        <w:rPr>
          <w:rFonts w:ascii="Palatino Linotype" w:hAnsi="Palatino Linotype"/>
        </w:rPr>
        <w:t xml:space="preserve">evening </w:t>
      </w:r>
      <w:r w:rsidR="00BB55D7">
        <w:rPr>
          <w:rFonts w:ascii="Palatino Linotype" w:hAnsi="Palatino Linotype"/>
        </w:rPr>
        <w:t>a</w:t>
      </w:r>
      <w:r w:rsidR="00EB48BF">
        <w:rPr>
          <w:rFonts w:ascii="Palatino Linotype" w:hAnsi="Palatino Linotype"/>
        </w:rPr>
        <w:t xml:space="preserve">s they </w:t>
      </w:r>
      <w:r w:rsidR="00BB55D7">
        <w:rPr>
          <w:rFonts w:ascii="Palatino Linotype" w:hAnsi="Palatino Linotype"/>
        </w:rPr>
        <w:t xml:space="preserve">only </w:t>
      </w:r>
      <w:r w:rsidR="00067801">
        <w:rPr>
          <w:rFonts w:ascii="Palatino Linotype" w:hAnsi="Palatino Linotype"/>
        </w:rPr>
        <w:t xml:space="preserve">provide </w:t>
      </w:r>
      <w:r w:rsidR="00BB55D7">
        <w:rPr>
          <w:rFonts w:ascii="Palatino Linotype" w:hAnsi="Palatino Linotype"/>
        </w:rPr>
        <w:t xml:space="preserve">shelter on an overnight basis, thus you may need to call at </w:t>
      </w:r>
      <w:r w:rsidR="00067801">
        <w:rPr>
          <w:rFonts w:ascii="Palatino Linotype" w:hAnsi="Palatino Linotype"/>
        </w:rPr>
        <w:t>varying times</w:t>
      </w:r>
      <w:r w:rsidR="00BB55D7">
        <w:rPr>
          <w:rFonts w:ascii="Palatino Linotype" w:hAnsi="Palatino Linotype"/>
        </w:rPr>
        <w:t xml:space="preserve">. </w:t>
      </w:r>
      <w:r w:rsidR="009666D3">
        <w:rPr>
          <w:rFonts w:ascii="Palatino Linotype" w:hAnsi="Palatino Linotype"/>
        </w:rPr>
        <w:t>Additionally,</w:t>
      </w:r>
      <w:r w:rsidR="00BB55D7">
        <w:rPr>
          <w:rFonts w:ascii="Palatino Linotype" w:hAnsi="Palatino Linotype"/>
        </w:rPr>
        <w:t xml:space="preserve"> if the shelter will not disclose any information then you should make a note of that</w:t>
      </w:r>
      <w:r w:rsidR="00067801">
        <w:rPr>
          <w:rFonts w:ascii="Palatino Linotype" w:hAnsi="Palatino Linotype"/>
        </w:rPr>
        <w:t xml:space="preserve">. The website Shelter Listings, </w:t>
      </w:r>
      <w:r w:rsidR="00BB55D7" w:rsidRPr="00BB55D7">
        <w:rPr>
          <w:rFonts w:ascii="Palatino Linotype" w:hAnsi="Palatino Linotype"/>
        </w:rPr>
        <w:t>http://www.shelterlistings.org/city/washington-dc.html</w:t>
      </w:r>
      <w:r w:rsidR="00067801">
        <w:rPr>
          <w:rFonts w:ascii="Palatino Linotype" w:hAnsi="Palatino Linotype"/>
        </w:rPr>
        <w:t>,</w:t>
      </w:r>
      <w:r w:rsidR="00BB55D7">
        <w:rPr>
          <w:rFonts w:ascii="Palatino Linotype" w:hAnsi="Palatino Linotype"/>
        </w:rPr>
        <w:t xml:space="preserve"> </w:t>
      </w:r>
      <w:r w:rsidR="00067801">
        <w:rPr>
          <w:rFonts w:ascii="Palatino Linotype" w:hAnsi="Palatino Linotype"/>
        </w:rPr>
        <w:t>offers information</w:t>
      </w:r>
      <w:r w:rsidR="00BB55D7">
        <w:rPr>
          <w:rFonts w:ascii="Palatino Linotype" w:hAnsi="Palatino Linotype"/>
        </w:rPr>
        <w:t xml:space="preserve"> on local area shelters.</w:t>
      </w:r>
      <w:r w:rsidR="009666D3">
        <w:rPr>
          <w:rFonts w:ascii="Palatino Linotype" w:hAnsi="Palatino Linotype"/>
        </w:rPr>
        <w:t xml:space="preserve"> </w:t>
      </w:r>
      <w:r w:rsidRPr="002B423A">
        <w:rPr>
          <w:rFonts w:ascii="Palatino Linotype" w:hAnsi="Palatino Linotype"/>
        </w:rPr>
        <w:t xml:space="preserve">The following </w:t>
      </w:r>
      <w:r w:rsidR="00EB48BF">
        <w:rPr>
          <w:rFonts w:ascii="Palatino Linotype" w:hAnsi="Palatino Linotype"/>
        </w:rPr>
        <w:t xml:space="preserve">is a non-exhaustive list of </w:t>
      </w:r>
      <w:r w:rsidR="00BB55D7">
        <w:rPr>
          <w:rFonts w:ascii="Palatino Linotype" w:hAnsi="Palatino Linotype"/>
        </w:rPr>
        <w:t xml:space="preserve">local area </w:t>
      </w:r>
      <w:r w:rsidR="00EB48BF">
        <w:rPr>
          <w:rFonts w:ascii="Palatino Linotype" w:hAnsi="Palatino Linotype"/>
        </w:rPr>
        <w:t>shelters</w:t>
      </w:r>
      <w:r w:rsidR="00BB55D7">
        <w:rPr>
          <w:rFonts w:ascii="Palatino Linotype" w:hAnsi="Palatino Linotype"/>
        </w:rPr>
        <w:t>:</w:t>
      </w:r>
    </w:p>
    <w:p w:rsidR="00C0167A" w:rsidRDefault="0035399D" w:rsidP="0036258D">
      <w:pPr>
        <w:spacing w:after="0" w:line="360" w:lineRule="auto"/>
        <w:ind w:left="720"/>
        <w:rPr>
          <w:rFonts w:ascii="Palatino Linotype" w:hAnsi="Palatino Linotype"/>
          <w:u w:val="single"/>
        </w:rPr>
      </w:pPr>
      <w:r>
        <w:rPr>
          <w:rFonts w:ascii="Palatino Linotype" w:hAnsi="Palatino Linotype"/>
          <w:u w:val="single"/>
        </w:rPr>
        <w:t>Shelters for Males and Females</w:t>
      </w:r>
      <w:r w:rsidR="00C0167A" w:rsidRPr="002B423A">
        <w:rPr>
          <w:rFonts w:ascii="Palatino Linotype" w:hAnsi="Palatino Linotype"/>
          <w:u w:val="single"/>
        </w:rPr>
        <w:t>:</w:t>
      </w:r>
    </w:p>
    <w:p w:rsidR="0035399D" w:rsidRPr="0035399D" w:rsidRDefault="0035399D" w:rsidP="0036258D">
      <w:pPr>
        <w:pStyle w:val="ListParagraph"/>
        <w:numPr>
          <w:ilvl w:val="0"/>
          <w:numId w:val="17"/>
        </w:numPr>
        <w:spacing w:after="0" w:line="360" w:lineRule="auto"/>
        <w:rPr>
          <w:rFonts w:ascii="Palatino Linotype" w:hAnsi="Palatino Linotype"/>
          <w:u w:val="single"/>
        </w:rPr>
      </w:pPr>
      <w:r>
        <w:rPr>
          <w:rFonts w:ascii="Palatino Linotype" w:hAnsi="Palatino Linotype"/>
        </w:rPr>
        <w:t>Jobs Have Priority (</w:t>
      </w:r>
      <w:r w:rsidRPr="002B423A">
        <w:rPr>
          <w:rFonts w:ascii="Palatino Linotype" w:hAnsi="Palatino Linotype"/>
        </w:rPr>
        <w:t>JHP, Inc.</w:t>
      </w:r>
      <w:r>
        <w:rPr>
          <w:rFonts w:ascii="Palatino Linotype" w:hAnsi="Palatino Linotype"/>
        </w:rPr>
        <w:t>)</w:t>
      </w:r>
      <w:r w:rsidR="00AB3948">
        <w:rPr>
          <w:rFonts w:ascii="Palatino Linotype" w:hAnsi="Palatino Linotype"/>
        </w:rPr>
        <w:t>:</w:t>
      </w:r>
      <w:r w:rsidRPr="002B423A">
        <w:rPr>
          <w:rFonts w:ascii="Palatino Linotype" w:hAnsi="Palatino Linotype"/>
        </w:rPr>
        <w:t xml:space="preserve"> 202</w:t>
      </w:r>
      <w:r w:rsidR="00524E10">
        <w:rPr>
          <w:rFonts w:ascii="Palatino Linotype" w:hAnsi="Palatino Linotype"/>
        </w:rPr>
        <w:t>-393-7117</w:t>
      </w:r>
    </w:p>
    <w:p w:rsidR="0035399D" w:rsidRPr="0035399D" w:rsidRDefault="0035399D" w:rsidP="0036258D">
      <w:pPr>
        <w:pStyle w:val="ListParagraph"/>
        <w:numPr>
          <w:ilvl w:val="0"/>
          <w:numId w:val="17"/>
        </w:numPr>
        <w:spacing w:after="0" w:line="360" w:lineRule="auto"/>
        <w:rPr>
          <w:rFonts w:ascii="Palatino Linotype" w:hAnsi="Palatino Linotype"/>
          <w:u w:val="single"/>
        </w:rPr>
      </w:pPr>
      <w:r>
        <w:rPr>
          <w:rFonts w:ascii="Palatino Linotype" w:hAnsi="Palatino Linotype"/>
        </w:rPr>
        <w:t>Community for Creative Non-Violence (</w:t>
      </w:r>
      <w:r w:rsidRPr="002B423A">
        <w:rPr>
          <w:rFonts w:ascii="Palatino Linotype" w:hAnsi="Palatino Linotype"/>
        </w:rPr>
        <w:t>CCNV</w:t>
      </w:r>
      <w:r>
        <w:rPr>
          <w:rFonts w:ascii="Palatino Linotype" w:hAnsi="Palatino Linotype"/>
        </w:rPr>
        <w:t>)</w:t>
      </w:r>
      <w:r w:rsidR="00AB3948">
        <w:rPr>
          <w:rFonts w:ascii="Palatino Linotype" w:hAnsi="Palatino Linotype"/>
        </w:rPr>
        <w:t>:</w:t>
      </w:r>
      <w:r w:rsidRPr="002B423A">
        <w:rPr>
          <w:rFonts w:ascii="Palatino Linotype" w:hAnsi="Palatino Linotype"/>
        </w:rPr>
        <w:t xml:space="preserve"> 202-393-1909</w:t>
      </w:r>
    </w:p>
    <w:p w:rsidR="0035399D" w:rsidRPr="0035399D" w:rsidRDefault="0035399D" w:rsidP="0036258D">
      <w:pPr>
        <w:pStyle w:val="ListParagraph"/>
        <w:numPr>
          <w:ilvl w:val="0"/>
          <w:numId w:val="17"/>
        </w:numPr>
        <w:spacing w:after="0" w:line="360" w:lineRule="auto"/>
        <w:rPr>
          <w:rFonts w:ascii="Palatino Linotype" w:hAnsi="Palatino Linotype"/>
          <w:u w:val="single"/>
        </w:rPr>
      </w:pPr>
      <w:r w:rsidRPr="002B423A">
        <w:rPr>
          <w:rFonts w:ascii="Palatino Linotype" w:hAnsi="Palatino Linotype"/>
        </w:rPr>
        <w:t>Gospel Rescue Ministries</w:t>
      </w:r>
      <w:r w:rsidR="00AB3948">
        <w:rPr>
          <w:rFonts w:ascii="Palatino Linotype" w:hAnsi="Palatino Linotype"/>
        </w:rPr>
        <w:t>:</w:t>
      </w:r>
      <w:r w:rsidRPr="002B423A">
        <w:rPr>
          <w:rFonts w:ascii="Palatino Linotype" w:hAnsi="Palatino Linotype"/>
        </w:rPr>
        <w:t xml:space="preserve"> 202-842-1731</w:t>
      </w:r>
    </w:p>
    <w:p w:rsidR="0035399D" w:rsidRPr="0035399D" w:rsidRDefault="0035399D" w:rsidP="0036258D">
      <w:pPr>
        <w:pStyle w:val="ListParagraph"/>
        <w:numPr>
          <w:ilvl w:val="0"/>
          <w:numId w:val="17"/>
        </w:numPr>
        <w:spacing w:after="0" w:line="360" w:lineRule="auto"/>
        <w:rPr>
          <w:rFonts w:ascii="Palatino Linotype" w:hAnsi="Palatino Linotype"/>
          <w:u w:val="single"/>
        </w:rPr>
      </w:pPr>
      <w:r w:rsidRPr="002B423A">
        <w:rPr>
          <w:rFonts w:ascii="Palatino Linotype" w:hAnsi="Palatino Linotype"/>
        </w:rPr>
        <w:t>Jeremiah House</w:t>
      </w:r>
      <w:r w:rsidR="00AB3948">
        <w:rPr>
          <w:rFonts w:ascii="Palatino Linotype" w:hAnsi="Palatino Linotype"/>
        </w:rPr>
        <w:t>:</w:t>
      </w:r>
      <w:r w:rsidRPr="002B423A">
        <w:rPr>
          <w:rFonts w:ascii="Palatino Linotype" w:hAnsi="Palatino Linotype"/>
        </w:rPr>
        <w:t xml:space="preserve"> 202-543-4901</w:t>
      </w:r>
    </w:p>
    <w:p w:rsidR="00C0167A" w:rsidRPr="002B423A" w:rsidRDefault="00C0167A" w:rsidP="0036258D">
      <w:pPr>
        <w:numPr>
          <w:ilvl w:val="0"/>
          <w:numId w:val="17"/>
        </w:numPr>
        <w:spacing w:after="0" w:line="360" w:lineRule="auto"/>
        <w:rPr>
          <w:rFonts w:ascii="Palatino Linotype" w:hAnsi="Palatino Linotype"/>
        </w:rPr>
      </w:pPr>
      <w:r w:rsidRPr="002B423A">
        <w:rPr>
          <w:rFonts w:ascii="Palatino Linotype" w:hAnsi="Palatino Linotype"/>
        </w:rPr>
        <w:t>Prince Georges House</w:t>
      </w:r>
      <w:r w:rsidR="00AB3948">
        <w:rPr>
          <w:rFonts w:ascii="Palatino Linotype" w:hAnsi="Palatino Linotype"/>
        </w:rPr>
        <w:t>:</w:t>
      </w:r>
      <w:r w:rsidRPr="002B423A">
        <w:rPr>
          <w:rFonts w:ascii="Palatino Linotype" w:hAnsi="Palatino Linotype"/>
        </w:rPr>
        <w:t xml:space="preserve"> 301-808-5317</w:t>
      </w:r>
    </w:p>
    <w:p w:rsidR="00C0167A" w:rsidRPr="002B423A" w:rsidRDefault="00C0167A" w:rsidP="0036258D">
      <w:pPr>
        <w:numPr>
          <w:ilvl w:val="0"/>
          <w:numId w:val="17"/>
        </w:numPr>
        <w:spacing w:after="0" w:line="360" w:lineRule="auto"/>
        <w:rPr>
          <w:rFonts w:ascii="Palatino Linotype" w:hAnsi="Palatino Linotype"/>
        </w:rPr>
      </w:pPr>
      <w:r w:rsidRPr="002B423A">
        <w:rPr>
          <w:rFonts w:ascii="Palatino Linotype" w:hAnsi="Palatino Linotype"/>
        </w:rPr>
        <w:t>Stepping Stones Shelter</w:t>
      </w:r>
      <w:r w:rsidR="00AB3948">
        <w:rPr>
          <w:rFonts w:ascii="Palatino Linotype" w:hAnsi="Palatino Linotype"/>
        </w:rPr>
        <w:t>:</w:t>
      </w:r>
      <w:r w:rsidRPr="002B423A">
        <w:rPr>
          <w:rFonts w:ascii="Palatino Linotype" w:hAnsi="Palatino Linotype"/>
        </w:rPr>
        <w:t xml:space="preserve"> 301-251-0567</w:t>
      </w:r>
    </w:p>
    <w:p w:rsidR="00C0167A" w:rsidRPr="002B423A" w:rsidRDefault="00C0167A" w:rsidP="0036258D">
      <w:pPr>
        <w:numPr>
          <w:ilvl w:val="0"/>
          <w:numId w:val="17"/>
        </w:numPr>
        <w:spacing w:after="0" w:line="360" w:lineRule="auto"/>
        <w:rPr>
          <w:rFonts w:ascii="Palatino Linotype" w:hAnsi="Palatino Linotype"/>
        </w:rPr>
      </w:pPr>
      <w:r w:rsidRPr="002B423A">
        <w:rPr>
          <w:rFonts w:ascii="Palatino Linotype" w:hAnsi="Palatino Linotype"/>
        </w:rPr>
        <w:t>Community Based Shelter</w:t>
      </w:r>
      <w:r w:rsidR="00AB3948">
        <w:rPr>
          <w:rFonts w:ascii="Palatino Linotype" w:hAnsi="Palatino Linotype"/>
        </w:rPr>
        <w:t>:</w:t>
      </w:r>
      <w:r w:rsidRPr="002B423A">
        <w:rPr>
          <w:rFonts w:ascii="Palatino Linotype" w:hAnsi="Palatino Linotype"/>
        </w:rPr>
        <w:t xml:space="preserve"> 301-770-2413</w:t>
      </w:r>
    </w:p>
    <w:p w:rsidR="00C0167A" w:rsidRPr="002B423A" w:rsidRDefault="00C0167A" w:rsidP="0036258D">
      <w:pPr>
        <w:numPr>
          <w:ilvl w:val="0"/>
          <w:numId w:val="17"/>
        </w:numPr>
        <w:spacing w:after="0" w:line="360" w:lineRule="auto"/>
        <w:rPr>
          <w:rFonts w:ascii="Palatino Linotype" w:hAnsi="Palatino Linotype"/>
        </w:rPr>
      </w:pPr>
      <w:r w:rsidRPr="002B423A">
        <w:rPr>
          <w:rFonts w:ascii="Palatino Linotype" w:hAnsi="Palatino Linotype"/>
        </w:rPr>
        <w:t>Carpenter Shelter</w:t>
      </w:r>
      <w:r w:rsidR="00AB3948">
        <w:rPr>
          <w:rFonts w:ascii="Palatino Linotype" w:hAnsi="Palatino Linotype"/>
        </w:rPr>
        <w:t>:</w:t>
      </w:r>
      <w:r w:rsidRPr="002B423A">
        <w:rPr>
          <w:rFonts w:ascii="Palatino Linotype" w:hAnsi="Palatino Linotype"/>
        </w:rPr>
        <w:t xml:space="preserve"> 703-548-7500</w:t>
      </w:r>
    </w:p>
    <w:p w:rsidR="00C0167A" w:rsidRPr="0035399D" w:rsidRDefault="00C0167A" w:rsidP="0036258D">
      <w:pPr>
        <w:numPr>
          <w:ilvl w:val="0"/>
          <w:numId w:val="17"/>
        </w:numPr>
        <w:spacing w:after="0" w:line="360" w:lineRule="auto"/>
        <w:rPr>
          <w:rFonts w:ascii="Palatino Linotype" w:hAnsi="Palatino Linotype"/>
        </w:rPr>
      </w:pPr>
      <w:proofErr w:type="spellStart"/>
      <w:r w:rsidRPr="002B423A">
        <w:rPr>
          <w:rFonts w:ascii="Palatino Linotype" w:hAnsi="Palatino Linotype"/>
        </w:rPr>
        <w:t>Mondloch</w:t>
      </w:r>
      <w:proofErr w:type="spellEnd"/>
      <w:r w:rsidRPr="002B423A">
        <w:rPr>
          <w:rFonts w:ascii="Palatino Linotype" w:hAnsi="Palatino Linotype"/>
        </w:rPr>
        <w:t xml:space="preserve"> House</w:t>
      </w:r>
      <w:r w:rsidR="00AB3948">
        <w:rPr>
          <w:rFonts w:ascii="Palatino Linotype" w:hAnsi="Palatino Linotype"/>
        </w:rPr>
        <w:t>:</w:t>
      </w:r>
      <w:r w:rsidRPr="002B423A">
        <w:rPr>
          <w:rFonts w:ascii="Palatino Linotype" w:hAnsi="Palatino Linotype"/>
        </w:rPr>
        <w:t xml:space="preserve"> 703-768-3400</w:t>
      </w:r>
    </w:p>
    <w:p w:rsidR="00C0167A" w:rsidRPr="002B423A" w:rsidRDefault="00C0167A" w:rsidP="0036258D">
      <w:pPr>
        <w:spacing w:after="0" w:line="360" w:lineRule="auto"/>
        <w:ind w:left="720"/>
        <w:rPr>
          <w:rFonts w:ascii="Palatino Linotype" w:hAnsi="Palatino Linotype"/>
          <w:u w:val="single"/>
        </w:rPr>
      </w:pPr>
      <w:r w:rsidRPr="002B423A">
        <w:rPr>
          <w:rFonts w:ascii="Palatino Linotype" w:hAnsi="Palatino Linotype"/>
          <w:u w:val="single"/>
        </w:rPr>
        <w:t>Females only:</w:t>
      </w:r>
    </w:p>
    <w:p w:rsidR="00C0167A" w:rsidRPr="005F36ED" w:rsidRDefault="00C0167A" w:rsidP="0036258D">
      <w:pPr>
        <w:pStyle w:val="ListParagraph"/>
        <w:numPr>
          <w:ilvl w:val="0"/>
          <w:numId w:val="18"/>
        </w:numPr>
        <w:spacing w:after="0" w:line="360" w:lineRule="auto"/>
        <w:rPr>
          <w:rFonts w:ascii="Palatino Linotype" w:hAnsi="Palatino Linotype"/>
        </w:rPr>
      </w:pPr>
      <w:r w:rsidRPr="005F36ED">
        <w:rPr>
          <w:rFonts w:ascii="Palatino Linotype" w:hAnsi="Palatino Linotype"/>
        </w:rPr>
        <w:t>Calvary Shelter</w:t>
      </w:r>
      <w:r w:rsidR="00AB3948">
        <w:rPr>
          <w:rFonts w:ascii="Palatino Linotype" w:hAnsi="Palatino Linotype"/>
        </w:rPr>
        <w:t>:</w:t>
      </w:r>
      <w:r w:rsidRPr="005F36ED">
        <w:rPr>
          <w:rFonts w:ascii="Palatino Linotype" w:hAnsi="Palatino Linotype"/>
        </w:rPr>
        <w:t xml:space="preserve"> 202-</w:t>
      </w:r>
      <w:r w:rsidR="00524E10">
        <w:rPr>
          <w:rFonts w:ascii="Palatino Linotype" w:hAnsi="Palatino Linotype"/>
        </w:rPr>
        <w:t>678-2341</w:t>
      </w:r>
    </w:p>
    <w:p w:rsidR="00C0167A" w:rsidRPr="005F36ED" w:rsidRDefault="00C0167A" w:rsidP="0036258D">
      <w:pPr>
        <w:pStyle w:val="ListParagraph"/>
        <w:numPr>
          <w:ilvl w:val="0"/>
          <w:numId w:val="18"/>
        </w:numPr>
        <w:spacing w:after="0" w:line="360" w:lineRule="auto"/>
        <w:rPr>
          <w:rFonts w:ascii="Palatino Linotype" w:hAnsi="Palatino Linotype"/>
        </w:rPr>
      </w:pPr>
      <w:r w:rsidRPr="005F36ED">
        <w:rPr>
          <w:rFonts w:ascii="Palatino Linotype" w:hAnsi="Palatino Linotype"/>
        </w:rPr>
        <w:t>Luther Place Night Shelter</w:t>
      </w:r>
      <w:r w:rsidR="00524E10">
        <w:rPr>
          <w:rFonts w:ascii="Palatino Linotype" w:hAnsi="Palatino Linotype"/>
        </w:rPr>
        <w:t xml:space="preserve"> (N Street Village)</w:t>
      </w:r>
      <w:r w:rsidR="00AB3948">
        <w:rPr>
          <w:rFonts w:ascii="Palatino Linotype" w:hAnsi="Palatino Linotype"/>
        </w:rPr>
        <w:t>:</w:t>
      </w:r>
      <w:r w:rsidRPr="005F36ED">
        <w:rPr>
          <w:rFonts w:ascii="Palatino Linotype" w:hAnsi="Palatino Linotype"/>
        </w:rPr>
        <w:t xml:space="preserve"> </w:t>
      </w:r>
      <w:r w:rsidR="00524E10">
        <w:rPr>
          <w:rFonts w:ascii="Palatino Linotype" w:hAnsi="Palatino Linotype"/>
        </w:rPr>
        <w:t>202-939-2060</w:t>
      </w:r>
    </w:p>
    <w:p w:rsidR="00C0167A" w:rsidRPr="005F36ED" w:rsidRDefault="00C0167A" w:rsidP="0036258D">
      <w:pPr>
        <w:pStyle w:val="ListParagraph"/>
        <w:numPr>
          <w:ilvl w:val="0"/>
          <w:numId w:val="18"/>
        </w:numPr>
        <w:spacing w:after="0" w:line="360" w:lineRule="auto"/>
        <w:rPr>
          <w:rFonts w:ascii="Palatino Linotype" w:hAnsi="Palatino Linotype"/>
        </w:rPr>
      </w:pPr>
      <w:r w:rsidRPr="005F36ED">
        <w:rPr>
          <w:rFonts w:ascii="Palatino Linotype" w:hAnsi="Palatino Linotype"/>
        </w:rPr>
        <w:t>Isaiah House</w:t>
      </w:r>
      <w:r w:rsidR="00AB3948">
        <w:rPr>
          <w:rFonts w:ascii="Palatino Linotype" w:hAnsi="Palatino Linotype"/>
        </w:rPr>
        <w:t>:</w:t>
      </w:r>
      <w:r w:rsidRPr="005F36ED">
        <w:rPr>
          <w:rFonts w:ascii="Palatino Linotype" w:hAnsi="Palatino Linotype"/>
        </w:rPr>
        <w:t xml:space="preserve"> 202-797-8806</w:t>
      </w:r>
    </w:p>
    <w:p w:rsidR="00C0167A" w:rsidRPr="005F36ED" w:rsidRDefault="00E644CF" w:rsidP="0036258D">
      <w:pPr>
        <w:pStyle w:val="ListParagraph"/>
        <w:numPr>
          <w:ilvl w:val="0"/>
          <w:numId w:val="18"/>
        </w:numPr>
        <w:spacing w:after="0" w:line="360" w:lineRule="auto"/>
        <w:rPr>
          <w:rFonts w:ascii="Palatino Linotype" w:hAnsi="Palatino Linotype"/>
        </w:rPr>
      </w:pPr>
      <w:r>
        <w:rPr>
          <w:rFonts w:ascii="Palatino Linotype" w:hAnsi="Palatino Linotype"/>
        </w:rPr>
        <w:t>Rachael’s Women’s</w:t>
      </w:r>
      <w:r w:rsidR="00AB3948">
        <w:rPr>
          <w:rFonts w:ascii="Palatino Linotype" w:hAnsi="Palatino Linotype"/>
        </w:rPr>
        <w:t xml:space="preserve"> </w:t>
      </w:r>
      <w:r w:rsidR="00C0167A" w:rsidRPr="005F36ED">
        <w:rPr>
          <w:rFonts w:ascii="Palatino Linotype" w:hAnsi="Palatino Linotype"/>
        </w:rPr>
        <w:t>Center</w:t>
      </w:r>
      <w:r w:rsidR="00AB3948">
        <w:rPr>
          <w:rFonts w:ascii="Palatino Linotype" w:hAnsi="Palatino Linotype"/>
        </w:rPr>
        <w:t>:</w:t>
      </w:r>
      <w:r w:rsidR="00C0167A" w:rsidRPr="005F36ED">
        <w:rPr>
          <w:rFonts w:ascii="Palatino Linotype" w:hAnsi="Palatino Linotype"/>
        </w:rPr>
        <w:t xml:space="preserve"> </w:t>
      </w:r>
      <w:r w:rsidR="003442AD">
        <w:rPr>
          <w:rFonts w:ascii="Palatino Linotype" w:hAnsi="Palatino Linotype"/>
        </w:rPr>
        <w:t>202-682-1005</w:t>
      </w:r>
      <w:r w:rsidR="00C0167A" w:rsidRPr="005F36ED">
        <w:rPr>
          <w:rFonts w:ascii="Palatino Linotype" w:hAnsi="Palatino Linotype"/>
        </w:rPr>
        <w:t xml:space="preserve"> </w:t>
      </w:r>
    </w:p>
    <w:p w:rsidR="00C0167A" w:rsidRPr="005F36ED" w:rsidRDefault="00E644CF" w:rsidP="0036258D">
      <w:pPr>
        <w:pStyle w:val="ListParagraph"/>
        <w:numPr>
          <w:ilvl w:val="0"/>
          <w:numId w:val="18"/>
        </w:numPr>
        <w:spacing w:after="0" w:line="360" w:lineRule="auto"/>
        <w:rPr>
          <w:rFonts w:ascii="Palatino Linotype" w:hAnsi="Palatino Linotype"/>
        </w:rPr>
      </w:pPr>
      <w:r>
        <w:rPr>
          <w:rFonts w:ascii="Palatino Linotype" w:hAnsi="Palatino Linotype"/>
        </w:rPr>
        <w:t xml:space="preserve">Doorways for Women and </w:t>
      </w:r>
      <w:r w:rsidR="00C0167A" w:rsidRPr="005F36ED">
        <w:rPr>
          <w:rFonts w:ascii="Palatino Linotype" w:hAnsi="Palatino Linotype"/>
        </w:rPr>
        <w:t>Families</w:t>
      </w:r>
      <w:r w:rsidR="00AB3948">
        <w:rPr>
          <w:rFonts w:ascii="Palatino Linotype" w:hAnsi="Palatino Linotype"/>
        </w:rPr>
        <w:t>:</w:t>
      </w:r>
      <w:r w:rsidR="00C0167A" w:rsidRPr="005F36ED">
        <w:rPr>
          <w:rFonts w:ascii="Palatino Linotype" w:hAnsi="Palatino Linotype"/>
        </w:rPr>
        <w:t xml:space="preserve"> </w:t>
      </w:r>
      <w:r w:rsidR="003442AD">
        <w:rPr>
          <w:rFonts w:ascii="Palatino Linotype" w:hAnsi="Palatino Linotype"/>
        </w:rPr>
        <w:t>703-237-0881</w:t>
      </w:r>
    </w:p>
    <w:p w:rsidR="00C0167A" w:rsidRPr="005F36ED" w:rsidRDefault="00C0167A" w:rsidP="0036258D">
      <w:pPr>
        <w:pStyle w:val="ListParagraph"/>
        <w:numPr>
          <w:ilvl w:val="0"/>
          <w:numId w:val="18"/>
        </w:numPr>
        <w:spacing w:after="0" w:line="360" w:lineRule="auto"/>
        <w:rPr>
          <w:rFonts w:ascii="Palatino Linotype" w:hAnsi="Palatino Linotype"/>
        </w:rPr>
      </w:pPr>
      <w:r w:rsidRPr="005F36ED">
        <w:rPr>
          <w:rFonts w:ascii="Palatino Linotype" w:hAnsi="Palatino Linotype"/>
        </w:rPr>
        <w:t>House of Ruth</w:t>
      </w:r>
      <w:r w:rsidR="00AB3948">
        <w:rPr>
          <w:rFonts w:ascii="Palatino Linotype" w:hAnsi="Palatino Linotype"/>
        </w:rPr>
        <w:t>:</w:t>
      </w:r>
      <w:r w:rsidRPr="005F36ED">
        <w:rPr>
          <w:rFonts w:ascii="Palatino Linotype" w:hAnsi="Palatino Linotype"/>
        </w:rPr>
        <w:t xml:space="preserve"> 202-</w:t>
      </w:r>
      <w:r w:rsidR="00DD6E0D">
        <w:rPr>
          <w:rFonts w:ascii="Palatino Linotype" w:hAnsi="Palatino Linotype"/>
        </w:rPr>
        <w:t>667-7001</w:t>
      </w:r>
    </w:p>
    <w:p w:rsidR="00AB3948" w:rsidRDefault="00C0167A" w:rsidP="0036258D">
      <w:pPr>
        <w:pStyle w:val="ListParagraph"/>
        <w:numPr>
          <w:ilvl w:val="0"/>
          <w:numId w:val="18"/>
        </w:numPr>
        <w:spacing w:after="0" w:line="360" w:lineRule="auto"/>
        <w:rPr>
          <w:rFonts w:ascii="Palatino Linotype" w:hAnsi="Palatino Linotype"/>
        </w:rPr>
      </w:pPr>
      <w:r w:rsidRPr="005F36ED">
        <w:rPr>
          <w:rFonts w:ascii="Palatino Linotype" w:hAnsi="Palatino Linotype"/>
        </w:rPr>
        <w:t>Open Door Shelter</w:t>
      </w:r>
      <w:r w:rsidR="00AB3948">
        <w:rPr>
          <w:rFonts w:ascii="Palatino Linotype" w:hAnsi="Palatino Linotype"/>
        </w:rPr>
        <w:t>:</w:t>
      </w:r>
      <w:r w:rsidRPr="005F36ED">
        <w:rPr>
          <w:rFonts w:ascii="Palatino Linotype" w:hAnsi="Palatino Linotype"/>
        </w:rPr>
        <w:t xml:space="preserve"> 202-639-8093</w:t>
      </w:r>
    </w:p>
    <w:p w:rsidR="00AB3948" w:rsidRDefault="00AB3948" w:rsidP="0036258D">
      <w:pPr>
        <w:pStyle w:val="ListParagraph"/>
        <w:numPr>
          <w:ilvl w:val="0"/>
          <w:numId w:val="18"/>
        </w:numPr>
        <w:spacing w:after="0" w:line="360" w:lineRule="auto"/>
        <w:rPr>
          <w:rFonts w:ascii="Palatino Linotype" w:hAnsi="Palatino Linotype"/>
        </w:rPr>
      </w:pPr>
      <w:r>
        <w:rPr>
          <w:rFonts w:ascii="Palatino Linotype" w:hAnsi="Palatino Linotype"/>
        </w:rPr>
        <w:t>Harriet Tubman Shelter:</w:t>
      </w:r>
      <w:r w:rsidR="00972BEE">
        <w:rPr>
          <w:rFonts w:ascii="Palatino Linotype" w:hAnsi="Palatino Linotype"/>
        </w:rPr>
        <w:t xml:space="preserve"> 202-574-1924</w:t>
      </w:r>
    </w:p>
    <w:p w:rsidR="00AB3948" w:rsidRPr="00AB3948" w:rsidRDefault="00AB3948" w:rsidP="0036258D">
      <w:pPr>
        <w:pStyle w:val="ListParagraph"/>
        <w:numPr>
          <w:ilvl w:val="0"/>
          <w:numId w:val="18"/>
        </w:numPr>
        <w:spacing w:after="0" w:line="360" w:lineRule="auto"/>
        <w:rPr>
          <w:rFonts w:ascii="Palatino Linotype" w:hAnsi="Palatino Linotype"/>
        </w:rPr>
      </w:pPr>
      <w:r>
        <w:rPr>
          <w:rFonts w:ascii="Palatino Linotype" w:hAnsi="Palatino Linotype"/>
        </w:rPr>
        <w:t>Nativity Shelter:</w:t>
      </w:r>
      <w:r w:rsidR="00972BEE">
        <w:rPr>
          <w:rFonts w:ascii="Palatino Linotype" w:hAnsi="Palatino Linotype"/>
        </w:rPr>
        <w:t xml:space="preserve"> 202-487-2012</w:t>
      </w:r>
    </w:p>
    <w:p w:rsidR="005F36ED" w:rsidRPr="005F36ED" w:rsidRDefault="005F36ED" w:rsidP="0036258D">
      <w:pPr>
        <w:spacing w:after="0" w:line="360" w:lineRule="auto"/>
        <w:ind w:left="720"/>
        <w:rPr>
          <w:rFonts w:ascii="Palatino Linotype" w:hAnsi="Palatino Linotype"/>
          <w:u w:val="single"/>
        </w:rPr>
      </w:pPr>
      <w:r w:rsidRPr="005F36ED">
        <w:rPr>
          <w:rFonts w:ascii="Palatino Linotype" w:hAnsi="Palatino Linotype"/>
          <w:u w:val="single"/>
        </w:rPr>
        <w:t>Males only:</w:t>
      </w:r>
    </w:p>
    <w:p w:rsidR="005F36ED" w:rsidRDefault="005F36ED" w:rsidP="0036258D">
      <w:pPr>
        <w:pStyle w:val="ListParagraph"/>
        <w:numPr>
          <w:ilvl w:val="0"/>
          <w:numId w:val="19"/>
        </w:numPr>
        <w:spacing w:after="0" w:line="360" w:lineRule="auto"/>
        <w:rPr>
          <w:rFonts w:ascii="Palatino Linotype" w:hAnsi="Palatino Linotype"/>
        </w:rPr>
      </w:pPr>
      <w:r>
        <w:rPr>
          <w:rFonts w:ascii="Palatino Linotype" w:hAnsi="Palatino Linotype"/>
        </w:rPr>
        <w:t>801 East Shelter: 202-561-4014</w:t>
      </w:r>
    </w:p>
    <w:p w:rsidR="005F36ED" w:rsidRDefault="005F36ED" w:rsidP="0036258D">
      <w:pPr>
        <w:pStyle w:val="ListParagraph"/>
        <w:numPr>
          <w:ilvl w:val="0"/>
          <w:numId w:val="19"/>
        </w:numPr>
        <w:spacing w:after="0" w:line="360" w:lineRule="auto"/>
        <w:rPr>
          <w:rFonts w:ascii="Palatino Linotype" w:hAnsi="Palatino Linotype"/>
        </w:rPr>
      </w:pPr>
      <w:r>
        <w:rPr>
          <w:rFonts w:ascii="Palatino Linotype" w:hAnsi="Palatino Linotype"/>
        </w:rPr>
        <w:t>Adams Place Shelter: 202-832-8317</w:t>
      </w:r>
    </w:p>
    <w:p w:rsidR="00AB3948" w:rsidRPr="005F36ED" w:rsidRDefault="00AB3948" w:rsidP="0036258D">
      <w:pPr>
        <w:pStyle w:val="ListParagraph"/>
        <w:numPr>
          <w:ilvl w:val="0"/>
          <w:numId w:val="19"/>
        </w:numPr>
        <w:spacing w:after="0" w:line="360" w:lineRule="auto"/>
        <w:rPr>
          <w:rFonts w:ascii="Palatino Linotype" w:hAnsi="Palatino Linotype"/>
        </w:rPr>
      </w:pPr>
      <w:r>
        <w:rPr>
          <w:rFonts w:ascii="Palatino Linotype" w:hAnsi="Palatino Linotype"/>
        </w:rPr>
        <w:t>New York Avenue Shelter: 202-832-2359</w:t>
      </w:r>
    </w:p>
    <w:sectPr w:rsidR="00AB3948" w:rsidRPr="005F36ED" w:rsidSect="00222C69">
      <w:headerReference w:type="first" r:id="rId15"/>
      <w:footerReference w:type="first" r:id="rId16"/>
      <w:pgSz w:w="12240" w:h="15840"/>
      <w:pgMar w:top="1440" w:right="1440" w:bottom="1440" w:left="1440" w:header="27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446" w:rsidRDefault="00C12446" w:rsidP="00E13B00">
      <w:r>
        <w:separator/>
      </w:r>
    </w:p>
  </w:endnote>
  <w:endnote w:type="continuationSeparator" w:id="0">
    <w:p w:rsidR="00C12446" w:rsidRDefault="00C12446" w:rsidP="00E1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B5" w:rsidRDefault="008052EC">
    <w:pPr>
      <w:pStyle w:val="Footer"/>
      <w:jc w:val="center"/>
    </w:pPr>
    <w:r>
      <w:t xml:space="preserve">Updated February 2014 </w:t>
    </w:r>
    <w:r>
      <w:tab/>
    </w:r>
    <w:r>
      <w:tab/>
    </w:r>
    <w:sdt>
      <w:sdtPr>
        <w:id w:val="-1413150140"/>
        <w:docPartObj>
          <w:docPartGallery w:val="Page Numbers (Bottom of Page)"/>
          <w:docPartUnique/>
        </w:docPartObj>
      </w:sdtPr>
      <w:sdtEndPr>
        <w:rPr>
          <w:noProof/>
        </w:rPr>
      </w:sdtEndPr>
      <w:sdtContent>
        <w:r w:rsidR="00C51EB5">
          <w:fldChar w:fldCharType="begin"/>
        </w:r>
        <w:r w:rsidR="00C51EB5">
          <w:instrText xml:space="preserve"> PAGE   \* MERGEFORMAT </w:instrText>
        </w:r>
        <w:r w:rsidR="00C51EB5">
          <w:fldChar w:fldCharType="separate"/>
        </w:r>
        <w:r>
          <w:rPr>
            <w:noProof/>
          </w:rPr>
          <w:t>1</w:t>
        </w:r>
        <w:r w:rsidR="00C51EB5">
          <w:rPr>
            <w:noProof/>
          </w:rPr>
          <w:fldChar w:fldCharType="end"/>
        </w:r>
      </w:sdtContent>
    </w:sdt>
  </w:p>
  <w:p w:rsidR="00C51EB5" w:rsidRDefault="00C51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446" w:rsidRDefault="00C12446" w:rsidP="00E13B00">
      <w:r>
        <w:separator/>
      </w:r>
    </w:p>
  </w:footnote>
  <w:footnote w:type="continuationSeparator" w:id="0">
    <w:p w:rsidR="00C12446" w:rsidRDefault="00C12446" w:rsidP="00E13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0B" w:rsidRDefault="000A30D7" w:rsidP="00F74ED5">
    <w:pPr>
      <w:pStyle w:val="Header"/>
    </w:pPr>
    <w:r>
      <w:rPr>
        <w:noProof/>
      </w:rPr>
      <mc:AlternateContent>
        <mc:Choice Requires="wps">
          <w:drawing>
            <wp:anchor distT="0" distB="0" distL="114300" distR="114300" simplePos="0" relativeHeight="251658240" behindDoc="0" locked="0" layoutInCell="1" allowOverlap="1" wp14:anchorId="04FA5EEE" wp14:editId="14187F5E">
              <wp:simplePos x="0" y="0"/>
              <wp:positionH relativeFrom="column">
                <wp:posOffset>4076700</wp:posOffset>
              </wp:positionH>
              <wp:positionV relativeFrom="paragraph">
                <wp:posOffset>0</wp:posOffset>
              </wp:positionV>
              <wp:extent cx="2205990" cy="759460"/>
              <wp:effectExtent l="0" t="0" r="381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75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0B" w:rsidRPr="00C24499" w:rsidRDefault="000B230B" w:rsidP="000E5D20">
                          <w:pPr>
                            <w:spacing w:after="0"/>
                            <w:rPr>
                              <w:color w:val="000000" w:themeColor="text1"/>
                            </w:rPr>
                          </w:pPr>
                          <w:r w:rsidRPr="00C24499">
                            <w:rPr>
                              <w:color w:val="000000" w:themeColor="text1"/>
                            </w:rPr>
                            <w:t xml:space="preserve"> </w:t>
                          </w:r>
                        </w:p>
                        <w:p w:rsidR="000B230B" w:rsidRDefault="000B230B" w:rsidP="000E5D2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1pt;margin-top:0;width:173.7pt;height:5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" stroked="f">
              <v:textbox>
                <w:txbxContent>
                  <w:p w:rsidR="000B230B" w:rsidRPr="00C24499" w:rsidRDefault="000B230B" w:rsidP="000E5D20">
                    <w:pPr>
                      <w:spacing w:after="0"/>
                      <w:rPr>
                        <w:color w:val="000000" w:themeColor="text1"/>
                      </w:rPr>
                    </w:pPr>
                    <w:r w:rsidRPr="00C24499">
                      <w:rPr>
                        <w:color w:val="000000" w:themeColor="text1"/>
                      </w:rPr>
                      <w:t xml:space="preserve"> </w:t>
                    </w:r>
                  </w:p>
                  <w:p w:rsidR="000B230B" w:rsidRDefault="000B230B" w:rsidP="000E5D20">
                    <w:pPr>
                      <w:spacing w:after="0"/>
                    </w:pPr>
                  </w:p>
                </w:txbxContent>
              </v:textbox>
            </v:shape>
          </w:pict>
        </mc:Fallback>
      </mc:AlternateContent>
    </w:r>
    <w:r w:rsidR="008052EC">
      <w:rPr>
        <w:noProof/>
      </w:rPr>
      <w:drawing>
        <wp:inline distT="0" distB="0" distL="0" distR="0" wp14:anchorId="0ADB07C0" wp14:editId="0FC518FC">
          <wp:extent cx="3114675" cy="962025"/>
          <wp:effectExtent l="0" t="0" r="9525" b="0"/>
          <wp:docPr id="3" name="Picture 3" descr="ChildrensLawCenter_Tagline_Color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sLawCenter_Tagline_Color_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4877"/>
    <w:multiLevelType w:val="hybridMultilevel"/>
    <w:tmpl w:val="775C79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07C79B2"/>
    <w:multiLevelType w:val="hybridMultilevel"/>
    <w:tmpl w:val="F9806B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763095"/>
    <w:multiLevelType w:val="hybridMultilevel"/>
    <w:tmpl w:val="931C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D4694"/>
    <w:multiLevelType w:val="hybridMultilevel"/>
    <w:tmpl w:val="C624CD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8766E3"/>
    <w:multiLevelType w:val="hybridMultilevel"/>
    <w:tmpl w:val="C02848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C35A48"/>
    <w:multiLevelType w:val="hybridMultilevel"/>
    <w:tmpl w:val="87D0AA24"/>
    <w:lvl w:ilvl="0" w:tplc="234C64BE">
      <w:start w:val="1"/>
      <w:numFmt w:val="bullet"/>
      <w:lvlText w:val=""/>
      <w:lvlJc w:val="left"/>
      <w:pPr>
        <w:tabs>
          <w:tab w:val="num" w:pos="360"/>
        </w:tabs>
        <w:ind w:left="360" w:hanging="360"/>
      </w:pPr>
      <w:rPr>
        <w:rFonts w:ascii="Wingdings" w:hAnsi="Wingdings" w:hint="default"/>
        <w:color w:val="auto"/>
      </w:rPr>
    </w:lvl>
    <w:lvl w:ilvl="1" w:tplc="496C095E">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9D75693"/>
    <w:multiLevelType w:val="hybridMultilevel"/>
    <w:tmpl w:val="170A51EA"/>
    <w:lvl w:ilvl="0" w:tplc="496C09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024075"/>
    <w:multiLevelType w:val="hybridMultilevel"/>
    <w:tmpl w:val="06F2AFB8"/>
    <w:lvl w:ilvl="0" w:tplc="496C095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B82561"/>
    <w:multiLevelType w:val="hybridMultilevel"/>
    <w:tmpl w:val="828240AC"/>
    <w:lvl w:ilvl="0" w:tplc="234C64BE">
      <w:start w:val="1"/>
      <w:numFmt w:val="bullet"/>
      <w:lvlText w:val=""/>
      <w:lvlJc w:val="left"/>
      <w:pPr>
        <w:tabs>
          <w:tab w:val="num" w:pos="360"/>
        </w:tabs>
        <w:ind w:left="36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B821BB8"/>
    <w:multiLevelType w:val="hybridMultilevel"/>
    <w:tmpl w:val="12F4900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DA7227"/>
    <w:multiLevelType w:val="hybridMultilevel"/>
    <w:tmpl w:val="2A0EE0A4"/>
    <w:lvl w:ilvl="0" w:tplc="234C64B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BF3BB4"/>
    <w:multiLevelType w:val="hybridMultilevel"/>
    <w:tmpl w:val="5AFC138C"/>
    <w:lvl w:ilvl="0" w:tplc="234C64BE">
      <w:start w:val="1"/>
      <w:numFmt w:val="bullet"/>
      <w:lvlText w:val=""/>
      <w:lvlJc w:val="left"/>
      <w:pPr>
        <w:tabs>
          <w:tab w:val="num" w:pos="360"/>
        </w:tabs>
        <w:ind w:left="36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CC7425A"/>
    <w:multiLevelType w:val="hybridMultilevel"/>
    <w:tmpl w:val="950EB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07691"/>
    <w:multiLevelType w:val="hybridMultilevel"/>
    <w:tmpl w:val="F55C52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364051"/>
    <w:multiLevelType w:val="hybridMultilevel"/>
    <w:tmpl w:val="40B00C20"/>
    <w:lvl w:ilvl="0" w:tplc="496C09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FF09D9"/>
    <w:multiLevelType w:val="hybridMultilevel"/>
    <w:tmpl w:val="1C42712E"/>
    <w:lvl w:ilvl="0" w:tplc="496C09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FB39E9"/>
    <w:multiLevelType w:val="hybridMultilevel"/>
    <w:tmpl w:val="D344552A"/>
    <w:lvl w:ilvl="0" w:tplc="496C09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476DFE"/>
    <w:multiLevelType w:val="hybridMultilevel"/>
    <w:tmpl w:val="A11C601E"/>
    <w:lvl w:ilvl="0" w:tplc="0409000F">
      <w:start w:val="1"/>
      <w:numFmt w:val="decimal"/>
      <w:lvlText w:val="%1."/>
      <w:lvlJc w:val="left"/>
      <w:pPr>
        <w:tabs>
          <w:tab w:val="num" w:pos="720"/>
        </w:tabs>
        <w:ind w:left="720" w:hanging="360"/>
      </w:pPr>
      <w:rPr>
        <w:rFonts w:hint="default"/>
      </w:rPr>
    </w:lvl>
    <w:lvl w:ilvl="1" w:tplc="496C095E">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6F5C2A"/>
    <w:multiLevelType w:val="hybridMultilevel"/>
    <w:tmpl w:val="ED2E8A80"/>
    <w:lvl w:ilvl="0" w:tplc="496C09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F86B1C"/>
    <w:multiLevelType w:val="hybridMultilevel"/>
    <w:tmpl w:val="9922159C"/>
    <w:lvl w:ilvl="0" w:tplc="04090001">
      <w:start w:val="1"/>
      <w:numFmt w:val="bullet"/>
      <w:lvlText w:val=""/>
      <w:lvlJc w:val="left"/>
      <w:pPr>
        <w:tabs>
          <w:tab w:val="num" w:pos="1080"/>
        </w:tabs>
        <w:ind w:left="1080" w:hanging="360"/>
      </w:pPr>
      <w:rPr>
        <w:rFonts w:ascii="Symbol" w:hAnsi="Symbol" w:hint="default"/>
        <w:color w:val="auto"/>
      </w:rPr>
    </w:lvl>
    <w:lvl w:ilvl="1" w:tplc="496C095E">
      <w:start w:val="1"/>
      <w:numFmt w:val="bullet"/>
      <w:lvlText w:val=""/>
      <w:lvlJc w:val="left"/>
      <w:pPr>
        <w:tabs>
          <w:tab w:val="num" w:pos="2160"/>
        </w:tabs>
        <w:ind w:left="2160" w:hanging="360"/>
      </w:pPr>
      <w:rPr>
        <w:rFonts w:ascii="Symbol" w:hAnsi="Symbol"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num w:numId="1">
    <w:abstractNumId w:val="16"/>
  </w:num>
  <w:num w:numId="2">
    <w:abstractNumId w:val="12"/>
  </w:num>
  <w:num w:numId="3">
    <w:abstractNumId w:val="7"/>
  </w:num>
  <w:num w:numId="4">
    <w:abstractNumId w:val="18"/>
  </w:num>
  <w:num w:numId="5">
    <w:abstractNumId w:val="9"/>
  </w:num>
  <w:num w:numId="6">
    <w:abstractNumId w:val="17"/>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5"/>
  </w:num>
  <w:num w:numId="13">
    <w:abstractNumId w:val="6"/>
  </w:num>
  <w:num w:numId="14">
    <w:abstractNumId w:val="13"/>
  </w:num>
  <w:num w:numId="15">
    <w:abstractNumId w:val="19"/>
  </w:num>
  <w:num w:numId="16">
    <w:abstractNumId w:val="3"/>
  </w:num>
  <w:num w:numId="17">
    <w:abstractNumId w:val="0"/>
  </w:num>
  <w:num w:numId="18">
    <w:abstractNumId w:val="1"/>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EE"/>
    <w:rsid w:val="00000DFE"/>
    <w:rsid w:val="0002039C"/>
    <w:rsid w:val="00067801"/>
    <w:rsid w:val="000A30D7"/>
    <w:rsid w:val="000B230B"/>
    <w:rsid w:val="000C7AED"/>
    <w:rsid w:val="000E5D20"/>
    <w:rsid w:val="000F3419"/>
    <w:rsid w:val="00124F91"/>
    <w:rsid w:val="001D1C90"/>
    <w:rsid w:val="001E100C"/>
    <w:rsid w:val="00222C69"/>
    <w:rsid w:val="00256472"/>
    <w:rsid w:val="002B423A"/>
    <w:rsid w:val="002C32F3"/>
    <w:rsid w:val="00300757"/>
    <w:rsid w:val="003152A6"/>
    <w:rsid w:val="00320AC7"/>
    <w:rsid w:val="00326E64"/>
    <w:rsid w:val="003442AD"/>
    <w:rsid w:val="0035399D"/>
    <w:rsid w:val="0036258D"/>
    <w:rsid w:val="003A1EA5"/>
    <w:rsid w:val="003A55B9"/>
    <w:rsid w:val="003A58FC"/>
    <w:rsid w:val="003D694B"/>
    <w:rsid w:val="00426BC2"/>
    <w:rsid w:val="00505A90"/>
    <w:rsid w:val="00524E10"/>
    <w:rsid w:val="0052718E"/>
    <w:rsid w:val="00536B87"/>
    <w:rsid w:val="005C6F08"/>
    <w:rsid w:val="005F36ED"/>
    <w:rsid w:val="00633EEC"/>
    <w:rsid w:val="006362EC"/>
    <w:rsid w:val="00664ADE"/>
    <w:rsid w:val="00666DA1"/>
    <w:rsid w:val="00693655"/>
    <w:rsid w:val="0070493F"/>
    <w:rsid w:val="007057DE"/>
    <w:rsid w:val="00714B23"/>
    <w:rsid w:val="007268CA"/>
    <w:rsid w:val="007975D5"/>
    <w:rsid w:val="008052EC"/>
    <w:rsid w:val="00825A65"/>
    <w:rsid w:val="008D3B73"/>
    <w:rsid w:val="009362B2"/>
    <w:rsid w:val="0095359C"/>
    <w:rsid w:val="009666D3"/>
    <w:rsid w:val="00972BEE"/>
    <w:rsid w:val="009B4ABD"/>
    <w:rsid w:val="00A312D9"/>
    <w:rsid w:val="00AB3948"/>
    <w:rsid w:val="00AB581D"/>
    <w:rsid w:val="00AF6AE3"/>
    <w:rsid w:val="00B82301"/>
    <w:rsid w:val="00BB55D7"/>
    <w:rsid w:val="00BB65BD"/>
    <w:rsid w:val="00BF322E"/>
    <w:rsid w:val="00C0167A"/>
    <w:rsid w:val="00C12446"/>
    <w:rsid w:val="00C355EE"/>
    <w:rsid w:val="00C51EB5"/>
    <w:rsid w:val="00C832F9"/>
    <w:rsid w:val="00CC19BF"/>
    <w:rsid w:val="00CF69CF"/>
    <w:rsid w:val="00D043AE"/>
    <w:rsid w:val="00D66E2B"/>
    <w:rsid w:val="00D9042A"/>
    <w:rsid w:val="00D93E7F"/>
    <w:rsid w:val="00DD6E0D"/>
    <w:rsid w:val="00E13B00"/>
    <w:rsid w:val="00E376E0"/>
    <w:rsid w:val="00E644CF"/>
    <w:rsid w:val="00EB48BF"/>
    <w:rsid w:val="00F347C7"/>
    <w:rsid w:val="00F35B74"/>
    <w:rsid w:val="00F565E8"/>
    <w:rsid w:val="00F74ED5"/>
    <w:rsid w:val="00F96291"/>
    <w:rsid w:val="00FE4B0B"/>
    <w:rsid w:val="00FF1E0E"/>
    <w:rsid w:val="00FF2DB5"/>
    <w:rsid w:val="00FF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D20"/>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0E5D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B00"/>
    <w:pPr>
      <w:tabs>
        <w:tab w:val="center" w:pos="4680"/>
        <w:tab w:val="right" w:pos="9360"/>
      </w:tabs>
    </w:pPr>
  </w:style>
  <w:style w:type="character" w:customStyle="1" w:styleId="HeaderChar">
    <w:name w:val="Header Char"/>
    <w:basedOn w:val="DefaultParagraphFont"/>
    <w:link w:val="Header"/>
    <w:uiPriority w:val="99"/>
    <w:rsid w:val="00E13B00"/>
  </w:style>
  <w:style w:type="paragraph" w:styleId="Footer">
    <w:name w:val="footer"/>
    <w:basedOn w:val="Normal"/>
    <w:link w:val="FooterChar"/>
    <w:uiPriority w:val="99"/>
    <w:unhideWhenUsed/>
    <w:rsid w:val="00E13B00"/>
    <w:pPr>
      <w:tabs>
        <w:tab w:val="center" w:pos="4680"/>
        <w:tab w:val="right" w:pos="9360"/>
      </w:tabs>
    </w:pPr>
  </w:style>
  <w:style w:type="character" w:customStyle="1" w:styleId="FooterChar">
    <w:name w:val="Footer Char"/>
    <w:basedOn w:val="DefaultParagraphFont"/>
    <w:link w:val="Footer"/>
    <w:uiPriority w:val="99"/>
    <w:rsid w:val="00E13B00"/>
  </w:style>
  <w:style w:type="character" w:styleId="Hyperlink">
    <w:name w:val="Hyperlink"/>
    <w:basedOn w:val="DefaultParagraphFont"/>
    <w:uiPriority w:val="99"/>
    <w:unhideWhenUsed/>
    <w:rsid w:val="00E13B00"/>
    <w:rPr>
      <w:color w:val="0000FF" w:themeColor="hyperlink"/>
      <w:u w:val="single"/>
    </w:rPr>
  </w:style>
  <w:style w:type="paragraph" w:styleId="BalloonText">
    <w:name w:val="Balloon Text"/>
    <w:basedOn w:val="Normal"/>
    <w:link w:val="BalloonTextChar"/>
    <w:uiPriority w:val="99"/>
    <w:semiHidden/>
    <w:unhideWhenUsed/>
    <w:rsid w:val="00E13B00"/>
    <w:rPr>
      <w:rFonts w:ascii="Tahoma" w:hAnsi="Tahoma" w:cs="Tahoma"/>
      <w:sz w:val="16"/>
      <w:szCs w:val="16"/>
    </w:rPr>
  </w:style>
  <w:style w:type="character" w:customStyle="1" w:styleId="BalloonTextChar">
    <w:name w:val="Balloon Text Char"/>
    <w:basedOn w:val="DefaultParagraphFont"/>
    <w:link w:val="BalloonText"/>
    <w:uiPriority w:val="99"/>
    <w:semiHidden/>
    <w:rsid w:val="00E13B00"/>
    <w:rPr>
      <w:rFonts w:ascii="Tahoma" w:hAnsi="Tahoma" w:cs="Tahoma"/>
      <w:sz w:val="16"/>
      <w:szCs w:val="16"/>
    </w:rPr>
  </w:style>
  <w:style w:type="character" w:customStyle="1" w:styleId="Heading1Char">
    <w:name w:val="Heading 1 Char"/>
    <w:basedOn w:val="DefaultParagraphFont"/>
    <w:link w:val="Heading1"/>
    <w:uiPriority w:val="9"/>
    <w:rsid w:val="000E5D2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E5D20"/>
    <w:pPr>
      <w:ind w:left="720"/>
      <w:contextualSpacing/>
    </w:pPr>
  </w:style>
  <w:style w:type="character" w:styleId="CommentReference">
    <w:name w:val="annotation reference"/>
    <w:basedOn w:val="DefaultParagraphFont"/>
    <w:uiPriority w:val="99"/>
    <w:semiHidden/>
    <w:unhideWhenUsed/>
    <w:rsid w:val="005C6F08"/>
    <w:rPr>
      <w:sz w:val="16"/>
      <w:szCs w:val="16"/>
    </w:rPr>
  </w:style>
  <w:style w:type="paragraph" w:styleId="CommentText">
    <w:name w:val="annotation text"/>
    <w:basedOn w:val="Normal"/>
    <w:link w:val="CommentTextChar"/>
    <w:uiPriority w:val="99"/>
    <w:semiHidden/>
    <w:unhideWhenUsed/>
    <w:rsid w:val="005C6F08"/>
    <w:pPr>
      <w:spacing w:line="240" w:lineRule="auto"/>
    </w:pPr>
    <w:rPr>
      <w:sz w:val="20"/>
      <w:szCs w:val="20"/>
    </w:rPr>
  </w:style>
  <w:style w:type="character" w:customStyle="1" w:styleId="CommentTextChar">
    <w:name w:val="Comment Text Char"/>
    <w:basedOn w:val="DefaultParagraphFont"/>
    <w:link w:val="CommentText"/>
    <w:uiPriority w:val="99"/>
    <w:semiHidden/>
    <w:rsid w:val="005C6F0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69CF"/>
    <w:rPr>
      <w:b/>
      <w:bCs/>
    </w:rPr>
  </w:style>
  <w:style w:type="character" w:customStyle="1" w:styleId="CommentSubjectChar">
    <w:name w:val="Comment Subject Char"/>
    <w:basedOn w:val="CommentTextChar"/>
    <w:link w:val="CommentSubject"/>
    <w:uiPriority w:val="99"/>
    <w:semiHidden/>
    <w:rsid w:val="00CF69CF"/>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9B4A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D20"/>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0E5D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B00"/>
    <w:pPr>
      <w:tabs>
        <w:tab w:val="center" w:pos="4680"/>
        <w:tab w:val="right" w:pos="9360"/>
      </w:tabs>
    </w:pPr>
  </w:style>
  <w:style w:type="character" w:customStyle="1" w:styleId="HeaderChar">
    <w:name w:val="Header Char"/>
    <w:basedOn w:val="DefaultParagraphFont"/>
    <w:link w:val="Header"/>
    <w:uiPriority w:val="99"/>
    <w:rsid w:val="00E13B00"/>
  </w:style>
  <w:style w:type="paragraph" w:styleId="Footer">
    <w:name w:val="footer"/>
    <w:basedOn w:val="Normal"/>
    <w:link w:val="FooterChar"/>
    <w:uiPriority w:val="99"/>
    <w:unhideWhenUsed/>
    <w:rsid w:val="00E13B00"/>
    <w:pPr>
      <w:tabs>
        <w:tab w:val="center" w:pos="4680"/>
        <w:tab w:val="right" w:pos="9360"/>
      </w:tabs>
    </w:pPr>
  </w:style>
  <w:style w:type="character" w:customStyle="1" w:styleId="FooterChar">
    <w:name w:val="Footer Char"/>
    <w:basedOn w:val="DefaultParagraphFont"/>
    <w:link w:val="Footer"/>
    <w:uiPriority w:val="99"/>
    <w:rsid w:val="00E13B00"/>
  </w:style>
  <w:style w:type="character" w:styleId="Hyperlink">
    <w:name w:val="Hyperlink"/>
    <w:basedOn w:val="DefaultParagraphFont"/>
    <w:uiPriority w:val="99"/>
    <w:unhideWhenUsed/>
    <w:rsid w:val="00E13B00"/>
    <w:rPr>
      <w:color w:val="0000FF" w:themeColor="hyperlink"/>
      <w:u w:val="single"/>
    </w:rPr>
  </w:style>
  <w:style w:type="paragraph" w:styleId="BalloonText">
    <w:name w:val="Balloon Text"/>
    <w:basedOn w:val="Normal"/>
    <w:link w:val="BalloonTextChar"/>
    <w:uiPriority w:val="99"/>
    <w:semiHidden/>
    <w:unhideWhenUsed/>
    <w:rsid w:val="00E13B00"/>
    <w:rPr>
      <w:rFonts w:ascii="Tahoma" w:hAnsi="Tahoma" w:cs="Tahoma"/>
      <w:sz w:val="16"/>
      <w:szCs w:val="16"/>
    </w:rPr>
  </w:style>
  <w:style w:type="character" w:customStyle="1" w:styleId="BalloonTextChar">
    <w:name w:val="Balloon Text Char"/>
    <w:basedOn w:val="DefaultParagraphFont"/>
    <w:link w:val="BalloonText"/>
    <w:uiPriority w:val="99"/>
    <w:semiHidden/>
    <w:rsid w:val="00E13B00"/>
    <w:rPr>
      <w:rFonts w:ascii="Tahoma" w:hAnsi="Tahoma" w:cs="Tahoma"/>
      <w:sz w:val="16"/>
      <w:szCs w:val="16"/>
    </w:rPr>
  </w:style>
  <w:style w:type="character" w:customStyle="1" w:styleId="Heading1Char">
    <w:name w:val="Heading 1 Char"/>
    <w:basedOn w:val="DefaultParagraphFont"/>
    <w:link w:val="Heading1"/>
    <w:uiPriority w:val="9"/>
    <w:rsid w:val="000E5D2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E5D20"/>
    <w:pPr>
      <w:ind w:left="720"/>
      <w:contextualSpacing/>
    </w:pPr>
  </w:style>
  <w:style w:type="character" w:styleId="CommentReference">
    <w:name w:val="annotation reference"/>
    <w:basedOn w:val="DefaultParagraphFont"/>
    <w:uiPriority w:val="99"/>
    <w:semiHidden/>
    <w:unhideWhenUsed/>
    <w:rsid w:val="005C6F08"/>
    <w:rPr>
      <w:sz w:val="16"/>
      <w:szCs w:val="16"/>
    </w:rPr>
  </w:style>
  <w:style w:type="paragraph" w:styleId="CommentText">
    <w:name w:val="annotation text"/>
    <w:basedOn w:val="Normal"/>
    <w:link w:val="CommentTextChar"/>
    <w:uiPriority w:val="99"/>
    <w:semiHidden/>
    <w:unhideWhenUsed/>
    <w:rsid w:val="005C6F08"/>
    <w:pPr>
      <w:spacing w:line="240" w:lineRule="auto"/>
    </w:pPr>
    <w:rPr>
      <w:sz w:val="20"/>
      <w:szCs w:val="20"/>
    </w:rPr>
  </w:style>
  <w:style w:type="character" w:customStyle="1" w:styleId="CommentTextChar">
    <w:name w:val="Comment Text Char"/>
    <w:basedOn w:val="DefaultParagraphFont"/>
    <w:link w:val="CommentText"/>
    <w:uiPriority w:val="99"/>
    <w:semiHidden/>
    <w:rsid w:val="005C6F0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69CF"/>
    <w:rPr>
      <w:b/>
      <w:bCs/>
    </w:rPr>
  </w:style>
  <w:style w:type="character" w:customStyle="1" w:styleId="CommentSubjectChar">
    <w:name w:val="Comment Subject Char"/>
    <w:basedOn w:val="CommentTextChar"/>
    <w:link w:val="CommentSubject"/>
    <w:uiPriority w:val="99"/>
    <w:semiHidden/>
    <w:rsid w:val="00CF69CF"/>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9B4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13725">
      <w:bodyDiv w:val="1"/>
      <w:marLeft w:val="0"/>
      <w:marRight w:val="0"/>
      <w:marTop w:val="0"/>
      <w:marBottom w:val="0"/>
      <w:divBdr>
        <w:top w:val="none" w:sz="0" w:space="0" w:color="auto"/>
        <w:left w:val="none" w:sz="0" w:space="0" w:color="auto"/>
        <w:bottom w:val="none" w:sz="0" w:space="0" w:color="auto"/>
        <w:right w:val="none" w:sz="0" w:space="0" w:color="auto"/>
      </w:divBdr>
      <w:divsChild>
        <w:div w:id="43020396">
          <w:marLeft w:val="0"/>
          <w:marRight w:val="0"/>
          <w:marTop w:val="0"/>
          <w:marBottom w:val="0"/>
          <w:divBdr>
            <w:top w:val="none" w:sz="0" w:space="0" w:color="auto"/>
            <w:left w:val="none" w:sz="0" w:space="0" w:color="auto"/>
            <w:bottom w:val="none" w:sz="0" w:space="0" w:color="auto"/>
            <w:right w:val="none" w:sz="0" w:space="0" w:color="auto"/>
          </w:divBdr>
        </w:div>
        <w:div w:id="440956386">
          <w:marLeft w:val="0"/>
          <w:marRight w:val="0"/>
          <w:marTop w:val="0"/>
          <w:marBottom w:val="0"/>
          <w:divBdr>
            <w:top w:val="none" w:sz="0" w:space="0" w:color="auto"/>
            <w:left w:val="none" w:sz="0" w:space="0" w:color="auto"/>
            <w:bottom w:val="none" w:sz="0" w:space="0" w:color="auto"/>
            <w:right w:val="none" w:sz="0" w:space="0" w:color="auto"/>
          </w:divBdr>
        </w:div>
        <w:div w:id="429740588">
          <w:marLeft w:val="0"/>
          <w:marRight w:val="0"/>
          <w:marTop w:val="0"/>
          <w:marBottom w:val="0"/>
          <w:divBdr>
            <w:top w:val="none" w:sz="0" w:space="0" w:color="auto"/>
            <w:left w:val="none" w:sz="0" w:space="0" w:color="auto"/>
            <w:bottom w:val="none" w:sz="0" w:space="0" w:color="auto"/>
            <w:right w:val="none" w:sz="0" w:space="0" w:color="auto"/>
          </w:divBdr>
        </w:div>
        <w:div w:id="338242331">
          <w:marLeft w:val="0"/>
          <w:marRight w:val="0"/>
          <w:marTop w:val="0"/>
          <w:marBottom w:val="0"/>
          <w:divBdr>
            <w:top w:val="none" w:sz="0" w:space="0" w:color="auto"/>
            <w:left w:val="none" w:sz="0" w:space="0" w:color="auto"/>
            <w:bottom w:val="none" w:sz="0" w:space="0" w:color="auto"/>
            <w:right w:val="none" w:sz="0" w:space="0" w:color="auto"/>
          </w:divBdr>
        </w:div>
        <w:div w:id="1225943601">
          <w:marLeft w:val="0"/>
          <w:marRight w:val="0"/>
          <w:marTop w:val="0"/>
          <w:marBottom w:val="0"/>
          <w:divBdr>
            <w:top w:val="none" w:sz="0" w:space="0" w:color="auto"/>
            <w:left w:val="none" w:sz="0" w:space="0" w:color="auto"/>
            <w:bottom w:val="none" w:sz="0" w:space="0" w:color="auto"/>
            <w:right w:val="none" w:sz="0" w:space="0" w:color="auto"/>
          </w:divBdr>
        </w:div>
        <w:div w:id="2362894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sdmz2.courts.state.va.us/CJISWeb/circuit.j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urts.state.va.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sesearch.courts.state.md.us/inquiry/inquiry-index.js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ccourts.gov/internet/CCO.jsf" TargetMode="External"/><Relationship Id="rId4" Type="http://schemas.microsoft.com/office/2007/relationships/stylesWithEffects" Target="stylesWithEffects.xml"/><Relationship Id="rId9" Type="http://schemas.openxmlformats.org/officeDocument/2006/relationships/hyperlink" Target="http://www.lawhelp.org/files/7C92C43F-9283-A7E0-5931-E57134E903FB/attachments/959918D5-DB2B-4F1B-A70A160C074BBD8B/service_of_process_motion_to_serve_by_publication_or_postingsept2011.pdf" TargetMode="External"/><Relationship Id="rId14" Type="http://schemas.openxmlformats.org/officeDocument/2006/relationships/hyperlink" Target="http://www.bop.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atts\AppData\Local\Microsoft\Windows\Temporary%20Internet%20Files\Content.Outlook\GW615MRB\Service%20in%20Custody%20Cases%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626CB-008E-40AD-B9C5-ECEBCC06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in Custody Cases (2)</Template>
  <TotalTime>18</TotalTime>
  <Pages>5</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CLC</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Watts</dc:creator>
  <cp:lastModifiedBy>Gillian Schaps</cp:lastModifiedBy>
  <cp:revision>7</cp:revision>
  <cp:lastPrinted>2014-01-06T21:41:00Z</cp:lastPrinted>
  <dcterms:created xsi:type="dcterms:W3CDTF">2014-01-14T18:10:00Z</dcterms:created>
  <dcterms:modified xsi:type="dcterms:W3CDTF">2014-02-11T15:41:00Z</dcterms:modified>
</cp:coreProperties>
</file>